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16.2006.106 vom 4. Oktober 2006</w:t>
      </w:r>
    </w:p>
    <w:p>
      <w:r>
        <w:t>TI Tribunale d'appello, 2006-10-04, IT</w:t>
      </w:r>
    </w:p>
    <w:p>
      <w:r>
        <w:rPr>
          <w:b/>
        </w:rPr>
        <w:t xml:space="preserve">Quelle: </w:t>
      </w:r>
      <w:r>
        <w:t>https://mcp.opencaselaw.ch/entscheid/ti_gerichte_16.2006.106</w:t>
      </w:r>
    </w:p>
    <w:p>
      <w:r>
        <w:t>FR: TI_GERICHTE 16.2006.106 du 4 octobre 2006</w:t>
      </w:r>
    </w:p>
    <w:p>
      <w:r>
        <w:t>IT: TI_GERICHTE 16.2006.106 del 4 ottobre 2006</w:t>
      </w:r>
    </w:p>
    <w:p>
      <w:pPr>
        <w:pStyle w:val="Heading2"/>
      </w:pPr>
      <w:r>
        <w:t>Regeste</w:t>
      </w:r>
    </w:p>
    <w:p>
      <w:r>
        <w:t>rigetto dell'opposizione - ricorso tardivo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in virtù del quale questa Camera può decidere con breve motivazione senza notifica alla controparte per le osservazioni qualora il ricorso si rilevi inammissibile o manifestamente infondato; che gli oneri processuali seguono, di regola, la soccombenza (art. 148 cpv. 1 CPC) ma in concreto, visto il notorio stato di insolvenza del ricorrente, si può prescindere dal prelievo di tasse e spese; che non è il caso nemmeno di attribuire ripetibili all'istante, cui il ricorso non è stato intimato e non ha causato spese presumibili. Per i quali motivi, pronuncia:              1. Il ricorso per cassazione 14 settembre 2006 dRI 1 è irricevibile .</w:t>
      </w:r>
    </w:p>
    <w:p>
      <w:r>
        <w:rPr>
          <w:b/>
        </w:rPr>
        <w:t>E. 2</w:t>
      </w:r>
    </w:p>
    <w:p>
      <w:r>
        <w:t>Non si riscuotono tasse o spese né si assegnano ripetibili.</w:t>
      </w:r>
    </w:p>
    <w:p>
      <w:r>
        <w:rPr>
          <w:b/>
        </w:rPr>
        <w:t>E. 3</w:t>
      </w:r>
    </w:p>
    <w:p>
      <w:r>
        <w:t>Intimazione: -     ; . Comunicazione alla Giudicatura di pace del circolo di Lugano. terzi implicati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