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16.2005.99 vom 1. Dezember 2005</w:t>
      </w:r>
    </w:p>
    <w:p>
      <w:r>
        <w:t>TI Tribunale d'appello, 2005-12-01, IT</w:t>
      </w:r>
    </w:p>
    <w:p>
      <w:r>
        <w:rPr>
          <w:b/>
        </w:rPr>
        <w:t xml:space="preserve">Quelle: </w:t>
      </w:r>
      <w:r>
        <w:t>https://mcp.opencaselaw.ch/entscheid/ti_gerichte_16.2005.99</w:t>
      </w:r>
    </w:p>
    <w:p>
      <w:r>
        <w:t>FR: TI_GERICHTE 16.2005.99 du 1 décembre 2005</w:t>
      </w:r>
    </w:p>
    <w:p>
      <w:r>
        <w:t>IT: TI_GERICHTE 16.2005.99 del 1 dicembre 2005</w:t>
      </w:r>
    </w:p>
    <w:p>
      <w:pPr>
        <w:pStyle w:val="Heading2"/>
      </w:pPr>
      <w:r>
        <w:t>Regeste</w:t>
      </w:r>
    </w:p>
    <w:p>
      <w:r>
        <w:t>rigetto definitivo - sentenza tribunale confederato quale titolo esecutivo - condanna al pagamento di un importo lordo e non netto a titolo di salari - oneri sociali facilmente determinabili - identità credito - domanda di rinvio tempestiva e motivata - diritto di essere sentito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per cassazione 5 settembre 2005 di RI 1 è respinto.</w:t>
      </w:r>
    </w:p>
    <w:p>
      <w:r>
        <w:rPr>
          <w:b/>
        </w:rPr>
        <w:t>E. 2</w:t>
      </w:r>
    </w:p>
    <w:p>
      <w:r>
        <w:t>Tasse e spese del presente giudizio, per complessivi fr. 300.-, già anticipati dalla ricorrente, rimangono a suo carico. Non si assegnano ripetibili.</w:t>
      </w:r>
    </w:p>
    <w:p>
      <w:r>
        <w:rPr>
          <w:b/>
        </w:rPr>
        <w:t>E. 3</w:t>
      </w:r>
    </w:p>
    <w:p>
      <w:r>
        <w:t>Intimazione: -     ; - Comunicazione alla Pretura del Distretto di Lugano, sezione 5. terzi implicati Per la Camera di cassazione civile del Tribunale d’appello La presidente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