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16.2005.86 vom 15. Mai 2006</w:t>
      </w:r>
    </w:p>
    <w:p>
      <w:r>
        <w:t>TI Tribunale d'appello, 2006-05-15, IT</w:t>
      </w:r>
    </w:p>
    <w:p>
      <w:r>
        <w:rPr>
          <w:b/>
        </w:rPr>
        <w:t xml:space="preserve">Quelle: </w:t>
      </w:r>
      <w:r>
        <w:t>https://mcp.opencaselaw.ch/entscheid/ti_gerichte_16.2005.86</w:t>
      </w:r>
    </w:p>
    <w:p>
      <w:r>
        <w:t>FR: TI_GERICHTE 16.2005.86 du 15 mai 2006</w:t>
      </w:r>
    </w:p>
    <w:p>
      <w:r>
        <w:t>IT: TI_GERICHTE 16.2005.86 del 15 maggio 2006</w:t>
      </w:r>
    </w:p>
    <w:p>
      <w:pPr>
        <w:pStyle w:val="Heading2"/>
      </w:pPr>
      <w:r>
        <w:t>Regeste</w:t>
      </w:r>
    </w:p>
    <w:p>
      <w:r>
        <w:t>carta di credito - azione per recupero scoperto - legittimazione del rappresentante della parte - rappresentanza della persona giuridica - la costituzione all'udienza della parte sana i vizi dell'istanza - divieto del formalismo eccessivo - verifica del RC può essere fatta d'ufficio dal giudice</w:t>
      </w:r>
    </w:p>
    <w:p>
      <w:pPr>
        <w:pStyle w:val="Heading2"/>
      </w:pPr>
      <w:r>
        <w:t>Erwägungen</w:t>
      </w:r>
    </w:p>
    <w:p>
      <w:r>
        <w:rPr>
          <w:b/>
        </w:rPr>
        <w:t>E. 15</w:t>
      </w:r>
    </w:p>
    <w:p>
      <w:r>
        <w:t>dicembre 2004 di RI 1, si giustifica il rinvio degli atti al primo giudice affinché si esprima sul merito della vertenza; che alla luce di quanto sopra esposto il ricorso, che ha evidenziato il titolo di cassazione di cui all'art. 327 lett. g CPC, deve essere accolto senza che si renda necessaria la verifica della pretesa violazione del diritto di essere sentita della ricorrente, mentre la contestazione circa la carenza di poteri di rappresentanza dell'avv. __________ è priva di fondamento siccome lo stesso è iscritto nel registro cantonale degli avvocati e abilitato ad agire in virtù dell'autorizzazione del convenuto (cfr. procura in favore dell'avv. __________; che tasse, spese e ripetibili seguono la soccombenza (art. 148 CPC). Per i quali motivi, richiamati gli art. 327 segg. e per le spese l'art. 148 cpv. 1 CPC e la tariffa giudiziaria pronuncia: 1. Il ricorso per cassazione 12 luglio 2005 di RI 1 SA è accolto . Di conseguenza la sentenza 21 giugno 2005 del Segretario  assessore della Pretura di Lugano, sezione 1, è annullata e gli atti sono rinviati al primo giudice affinché si pronunci sul merito della vertenza. 2. Tasse e spese del presente giudizio, per complessivi fr. 100.-, già anticipati dalla ricorrente, sono poste a carico di CO 1 il quale rifonderà alla ricorrente fr. 150.- quale indennità per questa sede. 3. Intimazione: -   ; -     . Comunicazione alla Pretura del Distretto di Lugano, sezione 1.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