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16.2005.28 vom 11. November 2005</w:t>
      </w:r>
    </w:p>
    <w:p>
      <w:r>
        <w:t>TI Tribunale d'appello, 2005-11-11, IT</w:t>
      </w:r>
    </w:p>
    <w:p>
      <w:r>
        <w:rPr>
          <w:b/>
        </w:rPr>
        <w:t xml:space="preserve">Quelle: </w:t>
      </w:r>
      <w:r>
        <w:t>https://mcp.opencaselaw.ch/entscheid/ti_gerichte_16.2005.28</w:t>
      </w:r>
    </w:p>
    <w:p>
      <w:r>
        <w:t>FR: TI_GERICHTE 16.2005.28 du 11 novembre 2005</w:t>
      </w:r>
    </w:p>
    <w:p>
      <w:r>
        <w:t>IT: TI_GERICHTE 16.2005.28 del 11 novembre 2005</w:t>
      </w:r>
    </w:p>
    <w:p>
      <w:pPr>
        <w:pStyle w:val="Heading2"/>
      </w:pPr>
      <w:r>
        <w:t>Regeste</w:t>
      </w:r>
    </w:p>
    <w:p>
      <w:r>
        <w:t>rigetto opposizione con domanda di exequatur - decreto ingiuntivo italiano come titolo di rigetto definitivo - presupposti per il riconsocimento del decreto ingiuntivo italiano nell'ambito di una procedura di rigetto - notifica del decreto ingiuntivo per lettera raccomandata - validità notifica</w:t>
      </w:r>
    </w:p>
    <w:p>
      <w:pPr>
        <w:pStyle w:val="Heading2"/>
      </w:pPr>
      <w:r>
        <w:t>Erwägungen</w:t>
      </w:r>
    </w:p>
    <w:p>
      <w:r>
        <w:rPr>
          <w:b/>
        </w:rPr>
        <w:t>E. 11</w:t>
      </w:r>
    </w:p>
    <w:p>
      <w:r>
        <w:t>novembre 2005 /bd In nome della Repubblica e Cantone Ticino La Camera di cassazione civile del Tribunale d'appello composta dei giudici: Epiney-Colombo, presidente, Cocchi e Giani segretaria: Petralli Zeni, vicecancelliera sedente per giudicare il ricorso per cassazione 4 aprile 2005 presentato da RI 1 patr. dall'  RA 2 contro la sentenza 22 marzo 2005 del Segretario assessore della Pretura del Distretto di Bellinzona nella procedura di rigetto dell'opposizione con preventiva domanda di exequatur (inc. n. EF.2005.55) promossa con istanza 25 gennaio 2005 da CO 1 patr. dall'  RA 1 con la quale l'istante ha chiesto il rigetto definitivo dell’opposizione interposta dalla convenuta al PE n. __________ dell'UEF di Bellinzona, domanda accolta dal giudice. letti ed esaminati gli atti considerato in fatto e in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