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16.2004.78 vom 19. Mai 2005</w:t>
      </w:r>
    </w:p>
    <w:p>
      <w:r>
        <w:t>TI Tribunale d'appello, 2005-05-19, IT</w:t>
      </w:r>
    </w:p>
    <w:p>
      <w:r>
        <w:rPr>
          <w:b/>
        </w:rPr>
        <w:t xml:space="preserve">Quelle: </w:t>
      </w:r>
      <w:r>
        <w:t>https://mcp.opencaselaw.ch/entscheid/ti_gerichte_16.2004.78</w:t>
      </w:r>
    </w:p>
    <w:p>
      <w:r>
        <w:t>FR: TI_GERICHTE 16.2004.78 du 19 mai 2005</w:t>
      </w:r>
    </w:p>
    <w:p>
      <w:r>
        <w:t>IT: TI_GERICHTE 16.2004.78 del 19 maggio 2005</w:t>
      </w:r>
    </w:p>
    <w:p>
      <w:pPr>
        <w:pStyle w:val="Heading2"/>
      </w:pPr>
      <w:r>
        <w:t>Regeste</w:t>
      </w:r>
    </w:p>
    <w:p>
      <w:r>
        <w:t>carta di credito aziendale - nullità della clausola che prevede la solidarietà del lavoratore - nullità opponibile ai terzi</w:t>
      </w:r>
    </w:p>
    <w:p>
      <w:pPr>
        <w:pStyle w:val="Heading2"/>
      </w:pPr>
      <w:r>
        <w:t>Erwägungen</w:t>
      </w:r>
    </w:p>
    <w:p>
      <w:r>
        <w:rPr>
          <w:b/>
        </w:rPr>
        <w:t>E. 16</w:t>
      </w:r>
    </w:p>
    <w:p>
      <w:r>
        <w:t>delle condizioni generali dell'istante (cfr. doc. C), può essere opposta anche a quest'ultima (Favre/Munoz/Tobler, Le contrat de travail, Code annoté, 2001, n. 3.2 ad art. 327a CO; DTF 124 III 305), ragione per la quale la stessa non può pretendere dal convenuto il pagamento degli scoperti sull'utilizzo della carta aziendale rilasciata alla sua datrice di lavoro, anche perché dalle ricevute prodotte dall'istante (doc. G) si evince che le stesse non sono state sottoscritte dal convenuto per cui è verosimile che la carta aziendale sia stata utilizzata da un altro dipendente della __________; che alla luce di quanto sopra esposto la sentenza impugnata, frutto di un'errata applicazione del diritto sostanziale, deve essere annullata; che accogliendo il ricorso e ricorrendo i presupposti d’applicazione dell’art. 332 cpv. 2 CPC, si impone una nuova pronuncia da parte di questa Camera, con la conseguente reiezione dell'istanza; che le spese seguono la soccombenza (art. 148 cpv. 1 CPC), mentre per la prima sede non si giustifica di assegnare ripetibili al convenuto che non ha partecipato all'udienza di discussione dell'istanza. Per i quali motivi, richiamati gli art. 327 segg. CPC, per le spese l’art. 148 cpv. 1 CPC e la tariffa giudiziaria pronuncia: I. Il ricorso per cassazione 20 settembre 2004 di __________RI 1 è accolto . Di conseguenza la sentenza 13 settembre 2004 del Segretario assessore della Pretura della giurisdizione di Mendrisio Sud è annullata e sostituita dal seguente giudicato: 1.   L'istanza è respinta. 2.   La tassa di giustizia di fr.  200.- e le spese, da anticipare da CO 1, rimangono a suo carico. Non si assegnano ripetibili. II. Tasse e spese del presente giudizio, per complessivi fr. 200.-, sono poste a carico di CO 1 la quale rifonderà al ricorrente fr. 50.- a valere quale indennità per questa sede. III. Intimazione: -   . Comunicazione alla Pretura della giurisdizione di Mendrisio Sud.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