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16.2004.4 vom 4. November 2004</w:t>
      </w:r>
    </w:p>
    <w:p>
      <w:r>
        <w:t>TI Tribunale d'appello, 2004-11-04, IT</w:t>
      </w:r>
    </w:p>
    <w:p>
      <w:r>
        <w:rPr>
          <w:b/>
        </w:rPr>
        <w:t xml:space="preserve">Quelle: </w:t>
      </w:r>
      <w:r>
        <w:t>https://mcp.opencaselaw.ch/entscheid/ti_gerichte_16.2004.4_d20041104</w:t>
      </w:r>
    </w:p>
    <w:p>
      <w:r>
        <w:t>FR: TI_GERICHTE 16.2004.4 du 4 novembre 2004</w:t>
      </w:r>
    </w:p>
    <w:p>
      <w:r>
        <w:t>IT: TI_GERICHTE 16.2004.4 del 4 novembre 2004</w:t>
      </w:r>
    </w:p>
    <w:p>
      <w:pPr>
        <w:pStyle w:val="Heading2"/>
      </w:pPr>
      <w:r>
        <w:t>Regeste</w:t>
      </w:r>
    </w:p>
    <w:p>
      <w:r>
        <w:t>procedura sommaria trasformata in ordinaria - appalto - onere della prova della conclusione del contratto a carico dell'appaltatore - tasso interessi di mora del 5% salvo diversa pattuizione - non costituisce violazione del diritto di essere sentito il fatto di ignorare una prova irrilevant</w:t>
      </w:r>
    </w:p>
    <w:p>
      <w:pPr>
        <w:pStyle w:val="Heading2"/>
      </w:pPr>
      <w:r>
        <w:t>Erwägungen</w:t>
      </w:r>
    </w:p>
    <w:p>
      <w:r>
        <w:rPr>
          <w:b/>
        </w:rPr>
        <w:t>E. 4</w:t>
      </w:r>
    </w:p>
    <w:p>
      <w:r>
        <w:t>Giusta l’art. 327 lett. g CPC, disposto sotto il quale possono essere sussunte tutte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5</w:t>
      </w:r>
    </w:p>
    <w:p>
      <w:r>
        <w:t>Per quanto attiene al tipo di procedura adottata dal primo giudice è vero che l'istante ha inizialmente chiesto solo il rigetto dell'opposizione tuttavia all'udienza di discussione del 27 novembre 2003 il medesimo ha chiaramente esteso la sua domanda anche alla condanna della convenuta al pagamento dell'importo posto in esecuzione. L’interessata non solo non si è opposta a tale estensione ma ha espressamente acconsentito nel trasformare la presente causa da sommaria a civile , ragione per la quale è ora malvenuta a contestare simile modo d’agire, anche perché non vi è stata nessuna limitazione dei suoi diritti di difesa (Cocchi/Trezzini, CPC-TI, ad art. 101, m. 6).</w:t>
      </w:r>
    </w:p>
    <w:p>
      <w:r>
        <w:rPr>
          <w:b/>
        </w:rPr>
        <w:t>E. 6</w:t>
      </w:r>
    </w:p>
    <w:p>
      <w:r>
        <w:t>La ricorrente contesta la valutazione delle prove effettuata dal primo giudice, in particolare il fatto per quest'ultimo di aver ignorato il doc. B dal quale si evincerebbe la sua estraneità al contratto di appalto concluso dall'istante con la società __________, titolare dell'autolavaggio nel quale si è verificato il danneggiamento del suo veicolo. L'art.</w:t>
      </w:r>
    </w:p>
    <w:p>
      <w:r>
        <w:rPr>
          <w:b/>
        </w:rPr>
        <w:t>E. 8</w:t>
      </w:r>
    </w:p>
    <w:p>
      <w:r>
        <w:t>Vista la soccombenza pressoché totale della convenuta non si giustifica una diversa ripartizione delle spese di primo grado. In questa sede si può prescindere dall'attribuire ripetibili alla controparte, che non si è espressa sul ricorso. Per i quali motivi, richiamati gli art. 327 segg. CPC, per le spese l’art. 148 cpv. 1 CPC e la tariffa giudiziaria pronuncia:                     I. Il ricorso per cassazione 12 gennaio 2004 di __________RI 1 è parzialmente accolto . Di conseguenza la sentenza 15 dicembre 2003 del Giudice di pace del Circolo di Taverne, limitatamente ai suoi dispositivi n. 1 e 2, è annullata e sostituita dal seguente giudicato: 1.    L'istanza è parzialmente accolta. Di conseguenza la signora __________RI 1è condannata a pagare al CO 1l'importo di fr. 600.15 oltre interessi del 5% dal 19 novembre 2002. 2.    Limitatamente a quest'importo è rigettata in via definitiva l'opposizione interposta al PE n. __________dell'UE di Lugano . II. Tasse e spese del presente giudizio, per complessivi fr. 100.– già anticipati dalla ricorrente, rimangono a suo carico. Non si assegnano ripetibili. III. Intimazione: - . Comunicazione alla Giudicatura di pace del circolo di          Taverne.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