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16.2003.4 vom 14. Juli 2003</w:t>
      </w:r>
    </w:p>
    <w:p>
      <w:r>
        <w:t>TI Tribunale d'appello, 2003-07-14, IT</w:t>
      </w:r>
    </w:p>
    <w:p>
      <w:r>
        <w:rPr>
          <w:b/>
        </w:rPr>
        <w:t xml:space="preserve">Quelle: </w:t>
      </w:r>
      <w:r>
        <w:t>https://mcp.opencaselaw.ch/entscheid/ti_gerichte_16.2003.4</w:t>
      </w:r>
    </w:p>
    <w:p>
      <w:r>
        <w:t>FR: TI_GERICHTE 16.2003.4 du 14 juillet 2003</w:t>
      </w:r>
    </w:p>
    <w:p>
      <w:r>
        <w:t>IT: TI_GERICHTE 16.2003.4 del 14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20 gennaio 2003 __________ è respinto.</w:t>
      </w:r>
    </w:p>
    <w:p>
      <w:r>
        <w:rPr>
          <w:b/>
        </w:rPr>
        <w:t>E. 2</w:t>
      </w:r>
    </w:p>
    <w:p>
      <w:r>
        <w:t>Tasse e spese del presente giudizio, per complessivi fr. 100.- già anticipate dal ricorrente, rimangono a suo carico con l'obbligo di versare alla controparte fr. 300.- a titolo di ripetibili di questa sede.</w:t>
      </w:r>
    </w:p>
    <w:p>
      <w:r>
        <w:rPr>
          <w:b/>
        </w:rPr>
        <w:t>E. 3</w:t>
      </w:r>
    </w:p>
    <w:p>
      <w:r>
        <w:t>Intimazione a: – __________ Comunicazione alla Pretura del Distretto di Lugano, sezione 2.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