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16.2003.13 vom 9. September 2003</w:t>
      </w:r>
    </w:p>
    <w:p>
      <w:r>
        <w:t>TI Tribunale d'appello, 2003-09-09, IT</w:t>
      </w:r>
    </w:p>
    <w:p>
      <w:r>
        <w:rPr>
          <w:b/>
        </w:rPr>
        <w:t xml:space="preserve">Quelle: </w:t>
      </w:r>
      <w:r>
        <w:t>https://mcp.opencaselaw.ch/entscheid/ti_gerichte_16.2003.13</w:t>
      </w:r>
    </w:p>
    <w:p>
      <w:r>
        <w:t>FR: TI_GERICHTE 16.2003.13 du 9 septembre 2003</w:t>
      </w:r>
    </w:p>
    <w:p>
      <w:r>
        <w:t>IT: TI_GERICHTE 16.2003.13 del 9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La richiesta intesa al pagamento di fr. 198.- non può essere esaminata, non avendo la ricorrente formulato nessuna specifica censura nei confronti della sentenza del primo giudice, che deve quindi essere confermata anche su questo punto.</w:t>
      </w:r>
    </w:p>
    <w:p>
      <w:r>
        <w:rPr>
          <w:b/>
        </w:rPr>
        <w:t>E. 10</w:t>
      </w:r>
    </w:p>
    <w:p>
      <w:r>
        <w:t>Alla luce di quanto sopra esposto il ricorso, che non ha evidenziato nessun titolo di cassazione, deve essere respinto. Tasse, spese e ripetibili seguono la soccombenza (art. 148 cpv. 1 CPC). Per i quali motivi, richiamati gli art. 327 segg. CPC, per le spese l’art. 148 CPC e la tariffa giudiziaria pronuncia:              1. Il ricorso per cassazione 27 gennaio 2003 di __________ è respinto . 2. Le spese del presente giudizio, consistenti in: a) tassa di giustizia                              fr. 100.- b) spese fr.   20.- T o t a l e                                                fr. 120.- già anticipate dalla ricorrente, rimangono a suo carico con l'obbligo di rifondere alla controparte fr. 200.- a titolo di ripetibili di questa sede. 3. Intimazione a: __________. Comunicazione alla Giudicatura di pace del Circolo di Balerna. Per la Camera di cassazione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