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16.2002.98 vom 22. Juli 2003</w:t>
      </w:r>
    </w:p>
    <w:p>
      <w:r>
        <w:t>TI Tribunale d'appello, 2003-07-22, IT</w:t>
      </w:r>
    </w:p>
    <w:p>
      <w:r>
        <w:rPr>
          <w:b/>
        </w:rPr>
        <w:t xml:space="preserve">Quelle: </w:t>
      </w:r>
      <w:r>
        <w:t>https://mcp.opencaselaw.ch/entscheid/ti_gerichte_16.2002.98</w:t>
      </w:r>
    </w:p>
    <w:p>
      <w:r>
        <w:t>FR: TI_GERICHTE 16.2002.98 du 22 juillet 2003</w:t>
      </w:r>
    </w:p>
    <w:p>
      <w:r>
        <w:t>IT: TI_GERICHTE 16.2002.98 del 22 luglio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Non potendo attribuire all’istante la decisione di porre fine con effetto immediato al contratto, occorre basarsi sul tenore della disdetta notificata dalla convenuta il 25 luglio 2002. E siccome questa non rende esplicita la volontà di rescindere il contratto con effetto immediato, né richiama le norme di legge relative, essa potrebbe essere considerata tale solo a dipendenza dell'obbligo fatto al lavoratore di consegnare il materiale di lavoro in suo possesso già entro il 5 agosto successivo. Ma tant'è, poiché la conclusione del primo giudice di considerare la decisione della datrice di lavoro come disdetta ordinaria non è oggetto di censura, nemmeno a titolo subordinato, la questione non merita ulteriore disamina. In questa sede non è più in discussione l'accertamento del primo giudice secondo cui l'istante non era tenuto ad offrire le proprie prestazioni durante il periodo di disdetta, sia perché il contratto di lavoro poneva a carico della convenuta la chiamata in servizio del dipendente a seconda delle sue esigenze (doc. E), sia perché questi non aveva ancora ricevuto nessun piano di lavoro per il giorno successivo al 24 luglio (cfr. teste __________). La ricorrente contesta la mancata applicazione dell'art. 337c cpv. 2 CO, secondo il quale il lavoratore deve lasciar dedurre quanto ha risparmiato in seguito alla cessazione del rapporto di lavoro e ha guadagnato con altro lavoro o omesso intenzionalmente di guadagnare. Orbene, se è vero che questa norma è applicabile per analogia al lavoratore liberato dall'obbligo di lavorare durante il periodo di disdetta ordinario ( DTF 118 II 139), è anche vero che dottrina e giurisprudenza pongono a carico del datore di lavoro l'onere di provare che il lavoratore ha volutamente rinunciato a trovare una nuova occupazione ( Favre/ Munoz/ Tobler , op. cit., n. 2.6 ad art. 337c CO; Streiff/ von Kaenel , op. cit., n. 6 ad art. 337c CO). Nella fattispecie la convenuta, non solo non ha fornito nessuna indicazione su quanto il lavoratore avrebbe eventualmente risparmiato nei mesi di agosto e settembre 2002, ma neppure ha provato che questi avrebbe volutamente rinunciato a un’altra attività nello stesso periodo durante il quale egli non ha peraltro percepito nessuna indennità di disoccupazione (cfr. lettera 14 ottobre 2002 Cassa disoccupazione del __________). Ne discende che anche su questo punto il ricorso non evidenzia nessuna errata applicazione del diritto sostanziale da parte del primo giudice.</w:t>
      </w:r>
    </w:p>
    <w:p>
      <w:r>
        <w:rPr>
          <w:b/>
        </w:rPr>
        <w:t>E. 8</w:t>
      </w:r>
    </w:p>
    <w:p>
      <w:r>
        <w:t>La ricorrente rimprovera al primo giudice di aver riconosciuto all'istante un'indennità a titolo di ripetibili nonostante questi non fosse patrocinato da un legale. A questo proposito va rilevato che anche la parte non patrocinata ha diritto al pagamento di un’indennità volta a compensare il dispendio di tempo causatole dalla procedura giudiziaria ( Cocchi/ Trezzini , CPC-TI, art. 150, m. 10; Rep 1990 pag. 213). Per quanto attiene all'ammontare, l'importo di fr. 360.- riconosciuto all'istante, risulta inferiore al minimo del 15% sul valore di causa, secondo la TOA, ossia per il patrocinio di un legale (art. 9) e comunque l'istante, oltre all'allestimento dell'allegato introduttivo, ha dovuto partecipare a quattro udienze per ottenere il riconoscimento di quanto rivendicato in causa. Ne consegue che, in considerazione dell’ampio margine di apprezzamento che compete al giudice in questa materia ( Cocchi/ Trezzini , op. cit., ad art. 150, m. 19 e 22), non si può ritenere arbitraria nemmeno la decisione sull'indennità processuale riconosciuta all’istante.</w:t>
      </w:r>
    </w:p>
    <w:p>
      <w:r>
        <w:rPr>
          <w:b/>
        </w:rPr>
        <w:t>E. 9</w:t>
      </w:r>
    </w:p>
    <w:p>
      <w:r>
        <w:t>Alla luce di quanto sopra esposto il ricorso, che non ha evidenziato il titolo di cassazione invocato, dev'essere respinto, con il carico di ripetibili alla ricorrente. Motivi per i quali, richiamati gli art. 327 segg. CPC, per le spese l'art. 417 lett. e CPC pronuncia: 1. Il ricorso per cassazione 29 novembre 2002 di __________ è respinto. 2. Il presente giudizio è esente da tasse e spese. __________ verserà al ricorrente fr. 300.- a titolo di ripetibili. 3. Intimazione: __________ Comunicazione alla Pretura del Distretto di Lugano, sezione 1. Per la Camera di cassazione civile del Tribunale d’appello Il presidente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