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16.2002.97 vom 19. Mai 2003</w:t>
      </w:r>
    </w:p>
    <w:p>
      <w:r>
        <w:t>TI Tribunale d'appello, 2003-05-19, IT</w:t>
      </w:r>
    </w:p>
    <w:p>
      <w:r>
        <w:rPr>
          <w:b/>
        </w:rPr>
        <w:t xml:space="preserve">Quelle: </w:t>
      </w:r>
      <w:r>
        <w:t>https://mcp.opencaselaw.ch/entscheid/ti_gerichte_16.2002.97</w:t>
      </w:r>
    </w:p>
    <w:p>
      <w:r>
        <w:t>FR: TI_GERICHTE 16.2002.97 du 19 mai 2003</w:t>
      </w:r>
    </w:p>
    <w:p>
      <w:r>
        <w:t>IT: TI_GERICHTE 16.2002.97 del 19 maggio 2003</w:t>
      </w:r>
    </w:p>
    <w:p>
      <w:pPr>
        <w:pStyle w:val="Heading2"/>
      </w:pPr>
      <w:r>
        <w:t>Regeste</w:t>
      </w:r>
    </w:p>
    <w:p>
      <w:r>
        <w:t>Sentenza o decisione senza scheda</w:t>
      </w:r>
    </w:p>
    <w:p>
      <w:pPr>
        <w:pStyle w:val="Heading2"/>
      </w:pPr>
      <w:r>
        <w:t>Erwägungen</w:t>
      </w:r>
    </w:p>
    <w:p>
      <w:r>
        <w:rPr>
          <w:b/>
        </w:rPr>
        <w:t>E. 6</w:t>
      </w:r>
    </w:p>
    <w:p>
      <w:r>
        <w:t>Accogliendo il ricorso e dati i presupposti d’applicazione dell’art. 332 cpv. 2 CPC, la Camera decide il merito della controversia con il conseguente accoglimento dell'istanza limitatamente all’importo di fr. 2'800.- pari alle mensilità scoperte per il periodo luglio 1999 - ottobre 2001 (durata della locazione riconosciuto dalla convenuta), oltre agli interessi del 5% dal 23 aprile 2002, data di notifica del precetto esecutivo ( DTF 116 II 236 consid. 5a). La reiezione della riconvenzione è estranea a questa decisione non essendo stata oggetto di impugnativa. Tasse, spese e ripetibili seguono la soccombenza (art. 148 CPC). Le indennità processuali di prima sede non sono calcolate in base alla TOA dal momento che le parti non erano patrocinate. Avendo postulato in questa sede la condanna di controparte al pagamento dell'importo ridotto di fr. 2'800.-, la ricorrente vi è integralmente vittoriosa. Motivi per i quali, richiamati gli art. 327 segg. CPC, per le spese l'art. 148 CPC e la LTG pronuncia:             I. Il ricorso per cassazione 15 novembre 2002 di __________ è accolto. Di conseguenza la sentenza 25 ottobre 2002 del Pretore del Distretto di Riviera, limitatamente ai suoi dispositivi n. 1, 3 e 5, è annullata e sostituita dal seguente giudicato: 1. L'istanza è parzialmente accolta. __________ è condannata a pagare a __________ l'importo di fr. 2'800.- oltre interessi del 5% dal 23 aprile 2002. 1.1 Per tale importo è rigettata in via definitiva l'opposizione interposta al PE n. __________dell’UEF di Riviera. 3. La tassa di giustizia della domanda principale di fr. 250.- nonché le spese di complessivi fr. 50.-, sono poste a carico della parte convenuta per 5/6 e per 1/6 a carico dell'istante. 5. La convenuta rifonderà all’istante un’indennità di fr. 150.-. II. Tasse e spese del presente giudizio, per complessivi fr. 200.-, già anticipate dalla ricorrente, sono poste a carico di __________ la quale rifonderà alla ricorrente fr. 300.- a titolo di ripetibili di questa sede. III. Intimazione a: __________ . Comunicazione alla Pretura del Distretto di Riviera.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