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16.2002.93 vom 27. November 2002</w:t>
      </w:r>
    </w:p>
    <w:p>
      <w:r>
        <w:t>TI Tribunale d'appello, 2002-11-27, IT</w:t>
      </w:r>
    </w:p>
    <w:p>
      <w:r>
        <w:rPr>
          <w:b/>
        </w:rPr>
        <w:t xml:space="preserve">Quelle: </w:t>
      </w:r>
      <w:r>
        <w:t>https://mcp.opencaselaw.ch/entscheid/ti_gerichte_16.2002.93</w:t>
      </w:r>
    </w:p>
    <w:p>
      <w:r>
        <w:t>FR: TI_GERICHTE 16.2002.93 du 27 novembre 2002</w:t>
      </w:r>
    </w:p>
    <w:p>
      <w:r>
        <w:t>IT: TI_GERICHTE 16.2002.93 del 27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27.11.2002 16.2002.93</w:t>
      </w:r>
    </w:p>
    <w:p>
      <w:r>
        <w:t>Sentenza o decisione senza scheda</w:t>
      </w:r>
    </w:p>
    <w:p>
      <w:r>
        <w:t>Incarto n. 16.2002.93 Lugano 27 novembre 2002 /rgc In nome della Repubblica e Cantone del Ticino La Camera di cassazione civile del Tribunale d'appello composta dei giudici: Chiesa, presidente, Cocchi e Giani segretaria: Petralli Zeni, vicecancelliera sedente per giudicare il ricorso per cassazione 15 novembre 2002 presentato da __________ contro la sentenza 28 ottobre 2002 del Pretore del Distretto di Lugano, sezione 3, nella causa civile inappellabile promossa con istanza 27 febbraio 2002 da __________ patr. dall'avv. __________ con la quale l'istante ha chiesto la condanna del convenuto al pagamento di fr. 3'645.10 oltre accessori nonché il rigetto in via definitiva dell'opposizione interposta al PE n. __________ dell'UE di Lugano, domande accolte dal primo giudice, esaminati gli atti considerato in fatto e in diritto: che con istanza 27 febbraio 2002 __________ ha convenuto in giudizio __________ al fine di ottenere il pagamento di fr. 3645.10 a saldo di diverse fatture emesse nel 2001 per inserzioni pubblicate nella rivista __________, edita dall'istante; che con il querelato giudizio il segretario assessore, accertato il benfondato della pretesa di parte istante sulla base della documentazione prodotta e che il convenuto, assente dalla discussione, non ha contestato, ha accolto l'istanza; che con il presente tempestivo gravame __________ insorge contro il predetto giudizio, eccependo anzitutto la nullità della procedura, rispettivamente della sentenza, siccome promossa nei confronti di una persona inesistente poiché la citazione è stata emessa nei confronti di __________, ossia omettendo il suo cognome; che la censura è manifestamente infondata; che infatti, se è vero che la citazione è stata erroneamente indirizzata a __________ (i due nomi propri del ricorrente), è altrettanto chiaro che l'omissione del cognome __________ non ha impedito a quest'ultimo di ricevere la citazione, come da lui ammesso nello scritto 29 settembre 2002 alla Pretura, in pretesa sostituzione della propria comparsa al contraddittorio del 1° ottobre 2002; che di conseguenza, non avendo l'inesatta indicazione della parte comportato nessun pregiudizio per la stessa, non sono dati i presupposti né della nullità della sentenza, né dell'annullabilità dell'ordinanza di citazione (art. 143 CPC); che le ulteriori contestazioni di merito proposte dal ricorrente non possono essere considerate siccome proposte per la prima volta in questa sede (art. 321 cpv. 1 lett. b CPC); che giusta l’art. 313 bis CPC, applicabile anche alla procedura di ricorso per cassazione in virtù del rinvio di cui all’art. 331 cpv. 1 CPC, questa Camera può decidere con breve motivazione la reiezione dello stesso senza notifica alla controparte qualora si rilevi inammissibile o manifestamente infondato; che tasse e spese seguono la soccombenza. Motivi per i quali, richiamati gli art. 327 segg. CPC, per le spese l'art. 148 CPC e la LTG pronuncia: 1. Il ricorso per cassazione 15 novembre 2002 di __________ è respinto . 2. Tasse e spese del presente giudizio, per complessivi fr. 60.-, sono poste a carico del ricorrente. 3. Intimazione a: __________; Comunicazione alla Pretura del Distretto di Lugano, sezione 3.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