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16.2002.61 vom 29. Juli 2002</w:t>
      </w:r>
    </w:p>
    <w:p>
      <w:r>
        <w:t>TI Tribunale d'appello, 2002-07-29, IT</w:t>
      </w:r>
    </w:p>
    <w:p>
      <w:r>
        <w:rPr>
          <w:b/>
        </w:rPr>
        <w:t xml:space="preserve">Quelle: </w:t>
      </w:r>
      <w:r>
        <w:t>https://mcp.opencaselaw.ch/entscheid/ti_gerichte_16.2002.61</w:t>
      </w:r>
    </w:p>
    <w:p>
      <w:r>
        <w:t>FR: TI_GERICHTE 16.2002.61 du 29 juillet 2002</w:t>
      </w:r>
    </w:p>
    <w:p>
      <w:r>
        <w:t>IT: TI_GERICHTE 16.2002.61 del 29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29.07.2002 16.2002.61</w:t>
      </w:r>
    </w:p>
    <w:p>
      <w:r>
        <w:t>Sentenza o decisione senza scheda</w:t>
      </w:r>
    </w:p>
    <w:p>
      <w:r>
        <w:t>Incarto n. 16.2002.00061 Lugano 29 luglio 2002 /fb In nome della Repubblica e Cantone del Ticino La Camera di cassazione civile del Tribunale d'appello composta dei giudici: Chiesa, presidente, Cocchi e Pellegrini (quest'ultimo in sostituzione del giudice Giani, astenuto) segretaria: Petralli Zeni, vicecancelliera sedente per giudicare il reclamo (legge e diritto) 5 luglio 2002 presentato da __________ contro la sentenza 21 giugno 2002 della prima Camera civile del Tribunale d'appello emanata nell'ambito della domanda di revoca dell'interdizione pronunciata nei confronti del figlio della ricorrente, __________ (__________) esaminati gli atti, in fatto e in diritto: che con sentenza 13 maggio 2002 la prima Camera civile, in parziale accoglimento di un appello inoltrato da __________ il 13 maggio 2002, ha annullato la decisione 11 mag­gio 2001 con la quale l'autorità di vigilanza sulle tutele ha dichiarato irricevibile la domanda della ricorrente intesa ad ottenere la revoca dell'interdizione pronunciata nei confronti del figlio, __________; che la domanda di riesame di questa decisione, formulata da __________ il 10 giugno 2002, è stata dichiarata irricevibile con sentenza 21 giugno 2002 della prima Camera civile; che contro questa decisione __________ è insorta con reclamo 5 luglio 2002, chiedendo a questa Camera l'annullamento della sentenza della prima Camera civile per imparzialità, arbitrio di legge e diritto e favoreggiamento , con il conseguente accoglimento della sua domanda di riesame; che la Camera di cassazione civile è competente a giudicare i ricorsi inoltrati contro le sentenze dei giudici di pace e dei pretori come istanza unica (art. 327 cpv. 1 CPC); che pertanto, trattandosi di una sentenza della prima Camera civile, non è data la competenza di questa Camera ad esprimersi sul ricorso contro la stessa presentato da __________;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che in considerazione della particolarità della fattispecie, non si prelevano tasse e spese per il presente giudizio. Motivi per i quali, richiamati gli art. 327 segg. CPC pronuncia: 1. Il reclamo 5 luglio 2002 __________ è irricevibile. 2. Non si prelevano tasse né spese per il presente giudizio. 3. Intimazione a: -     __________ Comunicazione alla prima Camera civile del Tribunale appello.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