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16.2002.27 vom 5. August 2002</w:t>
      </w:r>
    </w:p>
    <w:p>
      <w:r>
        <w:t>TI Tribunale d'appello, 2002-08-05, IT</w:t>
      </w:r>
    </w:p>
    <w:p>
      <w:r>
        <w:rPr>
          <w:b/>
        </w:rPr>
        <w:t xml:space="preserve">Quelle: </w:t>
      </w:r>
      <w:r>
        <w:t>https://mcp.opencaselaw.ch/entscheid/ti_gerichte_16.2002.27</w:t>
      </w:r>
    </w:p>
    <w:p>
      <w:r>
        <w:t>FR: TI_GERICHTE 16.2002.27 du 5 août 2002</w:t>
      </w:r>
    </w:p>
    <w:p>
      <w:r>
        <w:t>IT: TI_GERICHTE 16.2002.27 del 5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 conclusione la ricorrente critica la decisione del primo giudice in merito alla circostanza secondo cui -comunque- il rispetto della prassi sarebbe superato dalle pattuizioni concrete, concludendone all'esclusione della commissione litigiosa. Sennonché, sulla base della documentazione agli atti, in particolare la risposta 30 marzo 1998 della banca (di __________) sulla concessione ai clienti di un interesse di favore (doc. F) e lo scritto 29 marzo 1999 della __________ sulle condizioni del credito dal 1° luglio 1998 in avanti (doc. C), la tesi del primo giudice è del tutto sostenibile dal momento che non v'è nessun accenno (con riferimento al contratto iniziale: doc. D) a una commissione, né modificata, né confermata. Ciò che in concreto potrebbe rientrare nelle condizioni favorevoli applicate dalla banca nei confronti dei convenuti, e che -d'altra parte- non sarebbe contrario al principio secondo cui la pattuizione di una commissione non è un elemento essenziale del credito di costruzione ( Baumann , op. cit., pag. 50 e 121), di modo che un'eventuale modifica delle pattuizioni nel senso indicato dal primo giudice sarebbe senz'altro possibile, senza mettere in dubbio la validità o la natura del rapporto di mutuo. Né va dimenticato che la questione della commissione ha assunto in causa carattere marginale, al punto che nemmeno appare oggettivamente comprensibile il calcolo dell'importo posto a giudizio, dal momento che l'estratto conto cui l'istante fa riferimento (doc. L) non sembra poter costituire la base del credito: ma tant'è, sia a dipendenza dell'esito della lite, sia perché l'importo come tale non è stato contestato.</w:t>
      </w:r>
    </w:p>
    <w:p>
      <w:r>
        <w:rPr>
          <w:b/>
        </w:rPr>
        <w:t>E. 9</w:t>
      </w:r>
    </w:p>
    <w:p>
      <w:r>
        <w:t>Alla luce di quanto sopra esposto, la conclusione del segretario assessore non è certamente arbitraria. Di conseguenza il ricorso, che non ha evidenziato nessun titolo di cassazione, deve essere respinto. Tasse, spese e ripetibili seguono la soccombenza (art. 148 CPC). Motivi per i quali, richiamati gli art. 327 segg. CPC, per le spese l'art. 148 CPC, la LTG e la TOA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