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16.2001.94 vom 17. April 2002</w:t>
      </w:r>
    </w:p>
    <w:p>
      <w:r>
        <w:t>TI Tribunale d'appello, 2002-04-17, IT</w:t>
      </w:r>
    </w:p>
    <w:p>
      <w:r>
        <w:rPr>
          <w:b/>
        </w:rPr>
        <w:t xml:space="preserve">Quelle: </w:t>
      </w:r>
      <w:r>
        <w:t>https://mcp.opencaselaw.ch/entscheid/ti_gerichte_16.2001.94</w:t>
      </w:r>
    </w:p>
    <w:p>
      <w:r>
        <w:t>FR: TI_GERICHTE 16.2001.94 du 17 avril 2002</w:t>
      </w:r>
    </w:p>
    <w:p>
      <w:r>
        <w:t>IT: TI_GERICHTE 16.2001.94 del 17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17.04.2002 16.2001.94</w:t>
      </w:r>
    </w:p>
    <w:p>
      <w:r>
        <w:t>Sentenza o decisione senza scheda</w:t>
      </w:r>
    </w:p>
    <w:p>
      <w:r>
        <w:t>Incarto n. 16.2001.00094 Lugano 17 aprile 2002 /kc In nome della Repubblica e Cantone del Ticino La Camera di cassazione civile del Tribunale d'appello Composta dei giudici: Chiesa, presidente, Cocchi e Giani Segretaria: Petralli Zeni, vicecancelliera sedente per giudicare il ricorso per cassazione 3 dicembre 2001 presentato da __________ contro la sentenza 19 novembre 2001 del Segretario assessore della Pretura del Distretto di Lugano, sezione 5, nella causa a procedura sommaria in tema di esecuzioni e fallimenti promossa con istanza 1° marzo 2001 da __________ con la quale l'istante ha chiesto il rigetto in via provvisoria dell'opposizione interposta dal convenuto al PE n. __________ dell'UE di Lugano, domanda accolta dal primo giudice, esaminati agli atti considerato in fatto e in diritto: che con istanza 1° marzo 2001 __________ ha chiesto il rigetto in via provvisoria dell'opposizione interposta da __________ al PE sopra menzionato notificatogli per l'incasso di fr. 3'360.– oltre spese e tassa di diffida, corrispondenti al premio rivendicato nei confronti di quest'ultimo sulla base del contratto di assicurazione infortuni dallo stesso concluso, scaduto il 1° gennaio 2000; che a valere quale titolo esecutivo l'istante ha prodotto la proposta di assicurazione sottoscritta dal convenuto il 15 marzo 1996; che il convenuto si è opposto alla pretesa avversaria contestando l'esigibilità del credito rivendicato dall'istante; che con il querelato giudizio il segretario assessore, accertata la presenza agli atti di un valido riconoscimento di debito, ha accolto l'istanza; che con il presente tempestivo ricorso __________ insorge contro il predetto giudizio postulandone l'annullamento: rimprovera al primo giudice di aver erroneamente ritenuto esigibile il premio rivendicato dall'istante, nonostante questa avesse disdetto il contratto già a far tempo dal 1° gennaio 1999; che al ricorso controparte non ha formulato osservazioni; che secondo l’art. 97 CPC il giudice esamina d’ufficio, in ogni stadio di causa, i presupposti processuali tra i quali la capacità delle parti e la legittimazione dei loro rappresentanti (art. 97 n. 4 CPC); che trattandosi di una persona giuridica, qual'è in concreto l'__________, con sede a __________, essa agisce per mezzo dei suoi organi, iscritti a Registro di commercio (art. 55 CC); che nella concreta fattispecie, dalle risultanze del Registro di commercio è emerso che le persone che hanno sottoscritto l’istanza alla Pretura, tali __________ e __________, non sono iscritte a registro e non sono pertanto legittimate a vincolare né individualmente, né collettivamente la __________; che, ancorché il giudice sia tenuto ad esaminare la rappresentanza processuale nel caso di dubbio, ciò non esclude che l'eventualità si attui anche in sede di esame di un'impugnazione e anche in mancanza di una specifica invocazione delle parti ( Cocchi/ Trezzini , CPC–TI, ad art. 142, m. 4); che poiché l'assenza di un presupposto processuale comporta la nullità dell'atto (art. 142 cpv. 1 lett. a CPC), questa Camera constatare la nullità dell’istanza 1° marzo 2001 siccome sottoscritta da persone prive di legittimazione alla rappresentanza (art. 97 n. 4 CPC), nonché di ogni atto successivo, in particolare della sentenza; che al ricorrente viene riconosciuta un'indennità ridotta per questa sede ritenuto che l'esito del gravame è indipendente dai motivi proposti. Per i quali motivi, richiamati gli art. 327 segg. CPC, per le spese l’art. 148 CPC e la OTLEF pronuncia: 1. L’istanza 1° marzo 2001 di __________ è nulla e, con essa, tutti gli atti di procedura successivi, compresa la sentenza 19 novembre 2001 del Segretario assessore della Pretura del Distretto di Lugano, sezione 5. 2. Tasse e spese del presente giudizio, per complessivi fr. 70.– già anticipate dal ricorrente, sono poste a carico di __________ la quale rifonderà al ricorrente un'indennità di fr. 30.– per questa sede. 3. Intimazione a : – __________ Comunicazione alla Pretura del Distretto di Lugano, sezione 5. Per la Camera di cassazione civile del Tribunale d'appello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