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16.2001.75 vom 20. Februar 2002</w:t>
      </w:r>
    </w:p>
    <w:p>
      <w:r>
        <w:t>TI Tribunale d'appello, 2002-02-20, IT</w:t>
      </w:r>
    </w:p>
    <w:p>
      <w:r>
        <w:rPr>
          <w:b/>
        </w:rPr>
        <w:t xml:space="preserve">Quelle: </w:t>
      </w:r>
      <w:r>
        <w:t>https://mcp.opencaselaw.ch/entscheid/ti_gerichte_16.2001.75</w:t>
      </w:r>
    </w:p>
    <w:p>
      <w:r>
        <w:t>FR: TI_GERICHTE 16.2001.75 du 20 février 2002</w:t>
      </w:r>
    </w:p>
    <w:p>
      <w:r>
        <w:t>IT: TI_GERICHTE 16.2001.75 del 20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Nella fattispecie, avendo la convenuta espressamente contestato di aver ricevuto la merce fatturata il 9 marzo 1999 (doc. A), che non contesta invece di aver ordinato telefonicamente come allegato dall'istante, spettava a quest'ultima fornire la prova dell'invio, prova che l'istante non ha neppure tentato di allegare. A tal fine nulla giova il fatto di aver inviato alla convenuta la fattura e numerosi richiami di pagamento rimasti senza risposta, non potendosi dedurre dalla mancata contestazione di questa documentazione il riconoscimento di un credito che la convenuta considera inesistente ( Cocchi/Trezzini , op.cit., ad art. 183, m. 29). Come correttamente evidenziato dalla ricorrente, accogliendo la pretesa dell'istante nonostante le sue contestazioni e l'assenza di ogni prova circa l'avvenuto invio della merce fatturata, il giudice di pace ha manifestamente violato l'art. 8 CC ( Cocchi/Trezzini , op.cit., ad art. 183, m. 1).</w:t>
      </w:r>
    </w:p>
    <w:p>
      <w:r>
        <w:rPr>
          <w:b/>
        </w:rPr>
        <w:t>E. 7</w:t>
      </w:r>
    </w:p>
    <w:p>
      <w:r>
        <w:t>Ne discende che il ricorso, che ha evidenziato il titolo di cassazione invocato (art. 327 lett. g CPC), deve essere accolto. Accogliendo il ricorso e ricorrendo i presupposti d’applicazione dell’art. 332 cpv. 2 CPC, la Camera è tenuta a decidere il merito della controversia con la conseguente reiezione dell'istanza. Tasse e spese e ripetibili seguono la soccombenza (art. 148 CPC). Per i quali motivi, richiamati gli art. 327 segg. CPC, per le spese l'art. 148 CPC e la LTG pronuncia:             I. Il ricorso per cassazione 4 settembre 2001 di __________ è accolto. Di conseguenza la sentenza 20 luglio 2001 del Giudice di pace supplente del circolo di Pregassona è annullata e sostituita dal seguente giudicato: 1.  L'istanza è respinta. 2.  La tassa di giustizia di fr. 35.- e le spese di questa sede di fr. 30.-, da anticipare come di rito dalla parte istante, rimangono a suo carico. II. Tasse e spese del presente giudizio, per complessivi fr. 60.-, già anticipate dalla ricorrente, sono poste a carico di __________ la quale rifonderà alla ricorrente fr. 250.- a titolo di ripetibili di questa sede. III. Intimazione a: – __________ Comunicazione alla Giudicatura di pace del Circolo di Pregassona.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