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16.2001.52 vom 21. August 2001</w:t>
      </w:r>
    </w:p>
    <w:p>
      <w:r>
        <w:t>TI Tribunale d'appello, 2001-08-21, IT</w:t>
      </w:r>
    </w:p>
    <w:p>
      <w:r>
        <w:rPr>
          <w:b/>
        </w:rPr>
        <w:t xml:space="preserve">Quelle: </w:t>
      </w:r>
      <w:r>
        <w:t>https://mcp.opencaselaw.ch/entscheid/ti_gerichte_16.2001.52</w:t>
      </w:r>
    </w:p>
    <w:p>
      <w:r>
        <w:t>FR: TI_GERICHTE 16.2001.52 du 21 août 2001</w:t>
      </w:r>
    </w:p>
    <w:p>
      <w:r>
        <w:t>IT: TI_GERICHTE 16.2001.52 del 21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tassa di giustizia.</w:t>
      </w:r>
    </w:p>
    <w:p>
      <w:r>
        <w:rPr>
          <w:b/>
        </w:rPr>
        <w:t>E. 3</w:t>
      </w:r>
    </w:p>
    <w:p>
      <w:r>
        <w:t>Intimazione: – __________ Comunicazione alla Pretura del Distretto di Lugano, Sezione 2. Per la Camera di cassazione civile del Tribunale d’appello Il presidente                                                            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