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16.2000.77 vom 3. November 2000</w:t>
      </w:r>
    </w:p>
    <w:p>
      <w:r>
        <w:t>TI Tribunale d'appello, 2000-11-03, IT</w:t>
      </w:r>
    </w:p>
    <w:p>
      <w:r>
        <w:rPr>
          <w:b/>
        </w:rPr>
        <w:t xml:space="preserve">Quelle: </w:t>
      </w:r>
      <w:r>
        <w:t>https://mcp.opencaselaw.ch/entscheid/ti_gerichte_16.2000.77</w:t>
      </w:r>
    </w:p>
    <w:p>
      <w:r>
        <w:t>FR: TI_GERICHTE 16.2000.77 du 3 novembre 2000</w:t>
      </w:r>
    </w:p>
    <w:p>
      <w:r>
        <w:t>IT: TI_GERICHTE 16.2000.77 del 3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novembre 2000 /fb In nome della Repubblica e Cantone del Ticino La Camera di cassazione civile del Tribunale d'appello composta dei giudici: Chiesa, presidente Cocchi e Giani segretaria: Petralli Zeni, vicecancelliera sedente per giudicare il ricorso per cassazione 21 luglio 2000 presentato da __________ e __________ patr. dall'avv. __________ contro la sentenza 11 luglio 2000 del Pretore del Distretto di Lugano, sezione 4, nella causa a procedura speciale in materia di locazione promossa con istanza 26 luglio 1999 nei confronti di __________ patr. dall'avv. __________ con la quale le istanti hanno chiesto l'annullamento della decisione</w:t>
      </w:r>
    </w:p>
    <w:p>
      <w:r>
        <w:rPr>
          <w:b/>
        </w:rPr>
        <w:t>E. 8</w:t>
      </w:r>
    </w:p>
    <w:p>
      <w:r>
        <w:t>Alla luce di quanto sopra esposto il ricorso deve essere respinto, con l'addebito della tasse e spese di giustizia alla parte soccombente (art. 148 CPC). Per i quali motivi, richiamati gli art. 327 segg. CPC, per le spese l’art. 148 CPC e la vigente LTG pronuncia:           1. Il ricorso per cassazione 21 luglio 2000 di __________ e __________ è respinto. 2. Le spese e la tassa di giustizia per complessivi fr. 200.-,   già anticipate dalle ricorrenti, rimangono in solido a loro carico con l'obbligo, pure solidale, di versare al resistente l'importo di fr. 300.- a titolo di ripetibili per questa sede. 3. Intimazione a: – __________ Comunicazione alla Pretura del Distretto di Lugano, sezione 4. Per la Camera di cassazione civile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