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16.2000.67 vom 27. Juni 2000</w:t>
      </w:r>
    </w:p>
    <w:p>
      <w:r>
        <w:t>TI Tribunale d'appello, 2000-06-27, IT</w:t>
      </w:r>
    </w:p>
    <w:p>
      <w:r>
        <w:rPr>
          <w:b/>
        </w:rPr>
        <w:t xml:space="preserve">Quelle: </w:t>
      </w:r>
      <w:r>
        <w:t>https://mcp.opencaselaw.ch/entscheid/ti_gerichte_16.2000.67</w:t>
      </w:r>
    </w:p>
    <w:p>
      <w:r>
        <w:t>FR: TI_GERICHTE 16.2000.67 du 27 juin 2000</w:t>
      </w:r>
    </w:p>
    <w:p>
      <w:r>
        <w:t>IT: TI_GERICHTE 16.2000.67 del 27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27.06.2000 16.2000.67</w:t>
      </w:r>
    </w:p>
    <w:p>
      <w:r>
        <w:t>Sentenza o decisione senza scheda</w:t>
      </w:r>
    </w:p>
    <w:p>
      <w:r>
        <w:t>Incarto n. 16.2000.00067 Lugano 27 giugno 2000 /kc In nome della Repubblica e Cantone del Ticino La Camera di cassazione civile del Tribunale d'appello composta dei giudici: Chiesa, presidente, Cocchi e Giani segretaria: Petralli Zeni, vicecancelliera sedente per giudicare il ricorso per cassazione 13 giugno 2000 presentato da __________ (patr. dallo studio legale avv. ________) contro la sentenza 23 maggio 2000 del Pretore del Distretto di Lugano, sezione 2 nella causa a procedura inappellabile promossa con petizione 25 febbraio 1999 nei confronti di __________ (patr. dall'avv. ________) con la quale l’istante ha chiesto venisse fatto obbligo al convenuto di rimuovere a distanza regolamentare piante situate sul suo fondo a confine con la proprietà di cui egli è usufruttuario, domanda avversata dal convenuto che in via riconvenzionale ha formulato analoga istanza nei confronti dell'istante, domande che il pretore ha parzialmente accolto, considerato                     che con scritto 26 giugno 2000, pervenuto a questa Camera prima della scadenza del termine impartito alla controparte per formulare le osservazioni al ricorso e alla domanda di assistenza giudiziaria -la cui presentazione diviene pertanto superflua- il ricorrente ha comunicato di ritirare il ricorso; che così stando le cose si giustifica lo stralcio della procedura ricorsuale per desistenza del ricorrente (art. 352 cpv. 1 CPC); che in considerazione della particolarità del caso, non vengono prelevate tasse né spese per il presente giudizio. Per i quali motivi, richiamati gli art. 327 e l'art. 352segg. CPC pronuncia:           1. Il ricorso per cassazione 13 giugno 2000 di _________ è stralciato dai ruoli . 2. Non si prelevano tasse e spese per il presente giudizio. 3. Intimazione a: – __________ Comunicazione alla Pretura del Distretto di Lugano, Sezione 2.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