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16.2000.54 vom 19. Juni 2000</w:t>
      </w:r>
    </w:p>
    <w:p>
      <w:r>
        <w:t>TI Tribunale d'appello, 2000-06-19, IT</w:t>
      </w:r>
    </w:p>
    <w:p>
      <w:r>
        <w:rPr>
          <w:b/>
        </w:rPr>
        <w:t xml:space="preserve">Quelle: </w:t>
      </w:r>
      <w:r>
        <w:t>https://mcp.opencaselaw.ch/entscheid/ti_gerichte_16.2000.54</w:t>
      </w:r>
    </w:p>
    <w:p>
      <w:r>
        <w:t>FR: TI_GERICHTE 16.2000.54 du 19 juin 2000</w:t>
      </w:r>
    </w:p>
    <w:p>
      <w:r>
        <w:t>IT: TI_GERICHTE 16.2000.54 del 19 giugno 2000</w:t>
      </w:r>
    </w:p>
    <w:p>
      <w:pPr>
        <w:pStyle w:val="Heading2"/>
      </w:pPr>
      <w:r>
        <w:t>Regeste</w:t>
      </w:r>
    </w:p>
    <w:p>
      <w:r>
        <w:t>Sentenza o decisione senza scheda</w:t>
      </w:r>
    </w:p>
    <w:p>
      <w:pPr>
        <w:pStyle w:val="Heading2"/>
      </w:pPr>
      <w:r>
        <w:t>Erwägungen</w:t>
      </w:r>
    </w:p>
    <w:p>
      <w:r>
        <w:rPr>
          <w:b/>
        </w:rPr>
        <w:t>E. 23</w:t>
      </w:r>
    </w:p>
    <w:p>
      <w:r>
        <w:t>giugno 1993 in re P./S.); che in considerazione della particolarità della fattispecie, non si prelevano tasse né spese per il presente giudizio, né si assegnano ripetibili alla ricorrente, che peraltro non ha formulato nessuna richiesta in tal senso. Per i quali motivi, richiamati gli art. 327 segg.  CPC pronuncia:           1. Il ricorso per cassazione 23 maggio 2000 di __________ è accolto. Di conseguenza la sentenza 11 maggio 2000 del Segretario assessore della Pretura del Distretto di Lugano, sezione 2, è annullata. § L’incarto è ritornato al segretario assessore perché proceda nel senso dei considerandi. 2. Non si prelevano spese e tasse di giustizia, né si assegnano ripetibili. 3. Intimazione a: – __________;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