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16.1999.00128 vom 3. März 2000</w:t>
      </w:r>
    </w:p>
    <w:p>
      <w:r>
        <w:t>TI Tribunale d'appello, 2000-03-03, IT</w:t>
      </w:r>
    </w:p>
    <w:p>
      <w:r>
        <w:rPr>
          <w:b/>
        </w:rPr>
        <w:t xml:space="preserve">Quelle: </w:t>
      </w:r>
      <w:r>
        <w:t>https://mcp.opencaselaw.ch/entscheid/ti_gerichte_16.1999.00128</w:t>
      </w:r>
    </w:p>
    <w:p>
      <w:r>
        <w:t>FR: TI_GERICHTE 16.1999.00128 du 3 mars 2000</w:t>
      </w:r>
    </w:p>
    <w:p>
      <w:r>
        <w:t>IT: TI_GERICHTE 16.1999.00128 del 3 marzo 2000</w:t>
      </w:r>
    </w:p>
    <w:p>
      <w:pPr>
        <w:pStyle w:val="Heading2"/>
      </w:pPr>
      <w:r>
        <w:t>Regeste</w:t>
      </w:r>
    </w:p>
    <w:p>
      <w:r>
        <w:t>locazione - riduzione pigione per difetti nell'ente locato - cassazione e non appello - abuso di diritto - comportamento contrario alla buona fede</w:t>
      </w:r>
    </w:p>
    <w:p>
      <w:pPr>
        <w:pStyle w:val="Heading2"/>
      </w:pPr>
      <w:r>
        <w:t>Erwägungen</w:t>
      </w:r>
    </w:p>
    <w:p>
      <w:r>
        <w:rPr>
          <w:b/>
        </w:rPr>
        <w:t>E. 3</w:t>
      </w:r>
    </w:p>
    <w:p>
      <w:r>
        <w:t>Con il querelato giudizio il segretario assessore, accertata l’esistenza nell’ente locato di difetti dovuti in particolare alla presenza di umidità nell’appartamento locato, ritenuto che la notifica di questi difetti è avvenuta ad opera dei conduttori già nel mese di novembre 1998, ha accolto la loro domanda di riduzione della pigione nella misura del 25% (l’indicazione del 20% contenuta in sentenza è frutto di un errore di scrittura) per il periodo da dicembre 1998 a marzo 1999. Per quanto attiene alla pretesa di risarcimento danni, il primo giudice l’ha ritenuta fondata e l’ha accolta in via equitativa nella misura limitata di fr. 300.–, mentre ha respinto la pretesa opposta in compensazione dalla convenuta in quanto comunque relativa a interventi destinati a eliminare un difetto dell'ente locato per il quale i conduttori non sono tenuti a rispondere.</w:t>
      </w:r>
    </w:p>
    <w:p>
      <w:r>
        <w:rPr>
          <w:b/>
        </w:rPr>
        <w:t>E. 4</w:t>
      </w:r>
    </w:p>
    <w:p>
      <w:r>
        <w:t>Con la presente tempestiva impugnazione che deve essere trattata quale ricorso per cassazione in virtù dei combinati art. 411 cpv. 1 e 327 CPC, nonché 13 LOG, __________ è insorta contro il predetto giudizio postulandone l’annullamento. La ricorrente rimprovera al primo giudice di aver ritenuto applicabile alla fattispecie l’art. 259a CO nonostante gli inquilini non abbiano notificato il difetto e neppure depositato la pigione. Lamenta inoltre il fatto per il primo giudice di non aver giustificato la riduzione della pigione nella misura proposta dagli inquilini. In merito alla pretesa di risarcimento danni fatta valere dagli istanti, la ricorrente rimprovera al segretario assessore di averla parzialmente accolta sebbene manchi la prova del danno, mentre lamenta di essere stata privata della possibilità di assumere prove a sostegno del danno da lei stessa patito. Infine, considera ingiusto l'agire di controparte che ha sottaciuto il proprio credito al momento della firma della convenzione 4 marzo 1999. Con osservazioni 30 dicembre 1999 controparte postula la reiezione del ricorso eccependone innanzitutto la nullità dal punto di vista formale.</w:t>
      </w:r>
    </w:p>
    <w:p>
      <w:r>
        <w:rPr>
          <w:b/>
        </w:rPr>
        <w:t>E. 5</w:t>
      </w:r>
    </w:p>
    <w:p>
      <w:r>
        <w:t>Fra le premesse di validità di un ricorso per cassazione si conta la sua motivazione in fatto e in diritto e la precisazione del motivo invocato (art. 329 cpv. 2 lett. e CPC), laddove i motivi di cassazione sono esclusivamente quelli elencati all'art. 327 CPC. Al proposito la giurisprudenza ha precisato che, anche se carente dell'indicazione esplicita di un motivo di cassazione, il ricorso è valido se dalla sua motivazione affiorano con evidenza le ragioni del ricorso stesso, in modo che il giudice possa individuare con facilità il motivo di cassazione addotto, o la norma di legge violata ( Cocchi/Trezzini , CPC art. 329, n. 5). E' ciò che accade con il ricorso in esame che pertanto risulta formalmente ricevibile.</w:t>
      </w:r>
    </w:p>
    <w:p>
      <w:r>
        <w:rPr>
          <w:b/>
        </w:rPr>
        <w:t>E. 6</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124 I 247 consid. 5).</w:t>
      </w:r>
    </w:p>
    <w:p>
      <w:r>
        <w:rPr>
          <w:b/>
        </w:rPr>
        <w:t>E. 7</w:t>
      </w:r>
    </w:p>
    <w:p>
      <w:r>
        <w:t>Agisce in contrasto con la buona fede (art. 2 CC) chi commette abuso di diritto, ossia formula delle pretese sulla base di un proprio comportamento che abbia suscitato nella controparte fiducia degna di protezione ( Merz , in Comm. di Berna, art. 2 CC, N. 402), ossia di un complesso di fatti tale da portare l'altro all'assunzione o alla rinuncia di un obbligo o alla decadenza di un diritto ( DTF 115 II 338 consid. 5a). Compito della parte che rileva queste circostanze è di esporle in modo convincente così da permettere al giudice di trarne le conseguenze auspicate, mentre in sé l'abuso di diritto può essere sanzionato d'ufficio in ogni stadio della procedura ( DTF 95 II 109, consid. 4; 94 II 37, consid. 6a; Rep 1988, 294 e 1979, 402). Nella concreta fattispecie, in data 4 marzo 1999, le parti hanno sottoscritto una convenzione di scioglimento della locazione a decorrere dal successivo giorno 15 marzo (doc. F) che altrimenti avrebbe potuto essere disdetta soltanto nel rispetto del termine di preavviso di tre mesi per il termine del 1° marzo, la prima volta nell'anno 2001 (doc. A, punto 3). Con la stesso accordo i conduttori venivano inoltre implicitamente liberati dall'eventuale obbligo di cercare un nuovo conduttore solvibile ai sensi dell'art. 264 CO, mentre a loro carico restavano unicamente la pigione e l'anticipo spese per l'intero mese di marzo (pagati seduta stante: doc. G), pur con la riserva di un eventuale conguaglio per le spese accessorie. Mentre la locatrice a fronte di questi impegni dei conduttori si dichiarava tacitata per ogni suo credito, questi non accennavano a nessuna loro pretesa ma, lo stesso giorno (4 marzo), inoltravano istanza al competente Ufficio di conciliazione, avente per oggetto le loro pretese poi riproposte nella sede giudiziaria in seguito al fallimento del tentativo di conciliazione (doc. H e I). In sede di contraddittorio 26 maggio 1999, la convenuta -contestando i crediti in discussione- rilevava che se gli istanti avessero avuto delle pretese, avrebbero dovuto formularle al momento della sottoscrizione della convenzione, considerando così l'istanza proposta "in perfetta malafede". Malafede che controparte ha in sostanza ammesso laddove, in replica, allegava: " … la convenuta faceva delle difficoltà per firmare l'accordo di rescissione del contratto e non si voleva quindi fare delle aggiunte che avrebbero ostacolato la firma". Con ciò tuttavia gli istanti hanno carpito la fiducia della locatrice che con la firma della convenzione doveva ritenere chiusa ogni pendenza con i conduttori, ancorché non ne fosse fatta menzione esplicita. Indipendentemente dal fatto di sapere quale parte traesse maggiori vantaggi dall'accordo, determinante è che con la sottoscrizione del medesimo le parti intendessero porre fine al rapporto di locazione e che quindi la locatrice non potesse né dovesse attendersi ulteriori pretese da parte dei conduttori: a maggior ragione se si considera che l'accordo era stato redatto da quest'ultimi (cfr. verbale 26 maggio 1999, pag. 2). Il fatto quindi per gli istanti di aver espressamente sottaciuto al momento della sottoscrizione dell'accordo le pretese che lo stesso giorno facevano valere in via giudiziaria, non può essere tutelato poiché rappresenta un chiaro abuso di diritto, ossia un comportamento contrario alla correttezza e alla lealtà ( Riemer , Die Einleitungsartikel des Schweizerischen Zivilgesetzbuches, Berna e Zurigo 1987, p. 78 e segg.; Hausheer/Jaun , Die Einleitungsartikel des Schweizerischen Zivilgesetzbuches, Berna 1998, p. 79 e segg.). Ciò che vale anche nelle fasi precedenti la conclusione di un contratto, rispettivamente di un accordo quando esse sono reciprocamente tenute a far valere per tempo le eventuali pretese che dovessero entrare in considerazione ( Merz , op.cit., art. 2 CC, N. 512 e segg., in particolare 518, 521 e segg.), così da permettere al partner contrattuale di determinarsi sul da farsi, rispettivamente di non agire in maniera contraddittoria ( Merz , op. cit., art. 2 CC, N. 400 e segg.). Ne discende che la sentenza dedotta in cassazione, che ha accolto le richieste degli istanti, prescindendo dall'avvertire l'abuso di diritto su cui esse si fondavano, dev'essere cassata a causa della manifesta mancata applicazione alla fattispecie dell'art. art. 2 CC. Accogliendo il ricorso e ricorrendo i presupposti d’applicazione dell’art. 332 cpv. 2 CPC, la Camera è tenuta a decidere il merito della controversia, con la conseguente reiezione dell'istanza. Tasse, spese e ripetibili seguono la soccombenza (art. 148 CPC). Per i quali motivi, richiamati gli art. 327 segg. CPC, per le spese l'art. 148 CPC e la LTG pronuncia: I. Il ricorso 6 dicembre 1999 di __________ è accolto . Di conseguenza la sentenza 1° dicembre 1999 del Segretario assessore della Pretura di Bellinzona è annullata e sostituita dal seguente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