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16.1997.61 vom 9. September 1997</w:t>
      </w:r>
    </w:p>
    <w:p>
      <w:r>
        <w:t>TI Tribunale d'appello, 1997-09-09, IT</w:t>
      </w:r>
    </w:p>
    <w:p>
      <w:r>
        <w:rPr>
          <w:b/>
        </w:rPr>
        <w:t xml:space="preserve">Quelle: </w:t>
      </w:r>
      <w:r>
        <w:t>https://mcp.opencaselaw.ch/entscheid/ti_gerichte_16.1997.61</w:t>
      </w:r>
    </w:p>
    <w:p>
      <w:r>
        <w:t>FR: TI_GERICHTE 16.1997.61 du 9 septembre 1997</w:t>
      </w:r>
    </w:p>
    <w:p>
      <w:r>
        <w:t>IT: TI_GERICHTE 16.1997.61 del 9 settembre 1997</w:t>
      </w:r>
    </w:p>
    <w:p>
      <w:pPr>
        <w:pStyle w:val="Heading2"/>
      </w:pPr>
      <w:r>
        <w:t>Regeste</w:t>
      </w:r>
    </w:p>
    <w:p>
      <w:r>
        <w:t>Sentenza o decisione senza scheda</w:t>
      </w:r>
    </w:p>
    <w:p>
      <w:pPr>
        <w:pStyle w:val="Heading2"/>
      </w:pPr>
      <w:r>
        <w:t>Volltext</w:t>
      </w:r>
    </w:p>
    <w:p>
      <w:r>
        <w:t>Ticino Tribunale di appello diritto civile La Camera di cassazione civile 09.09.1997 16.1997.61</w:t>
      </w:r>
    </w:p>
    <w:p>
      <w:r>
        <w:t>Sentenza o decisione senza scheda</w:t>
      </w:r>
    </w:p>
    <w:p>
      <w:r>
        <w:t>Incarto n. 16.97.00061 Lugano 9 settembre 1997 /fb In nome della Repubblica e Cantone del Ticino La Camera di cassazione civile del Tribunale d'appello composta dei giudici: Chiesa, presidente, Cocchi e Giani segretaria: Petralli, vicecancelliera sedente per giudicare il ricorso per cassazione 26 maggio 1997 presentato da __________ patr. dall’avv. __________ contro la sentenza 14 maggio 1997 del Segretario assessore della Pretura del distretto di Lugano, Sezione 5, nella causa a procedura sommaria in tema di esecuzioni e fallimenti promossa con istanza 2 aprile 1997 da __________ con la quale l’istante ha chiesto il rigetto in via provvisoria dell’opposizione interposta dal convenuto al PE no. __________ dell’UE di Lugano, domanda accolta dal primo giudice limitatamente a fr. 1’500.- oltre interessi del 6% dal 30 gennaio 1992, letti ed esaminati gli atti considerato in fatto e in diritto: 1. Con istanza 2 aprile 1997 __________ ha chiesto il rigetto in via provvisoria dell’opposizione interposta da __________ al PE sopra menzionato notificatogli per l’incasso di fr. 2’000.- oltre accessori a saldo della fattura 31 ottobre 1991 emessa per la fornitura e posa di una cucina presso l’abitazione di quest’ultimo (doc. C). A valere quale riconoscimento di debito l’istante ha prodotto la conferma d’ordine 30 luglio 1991 sottoscritta per accettazione dal convenuto, dalla quale risulta un costo complessivo dell’opera preventivato in fr. 31’500.- e fatturato in fr. 32’000.- (doc. C). Su quest’importo il convenuto ha versato acconti per complessivi fr. 30’000.-, da qui la richiesta del saldo di fr. 2’000.- da parte della ditta appaltatrice. In sede di contraddittorio il convenuto si è opposto alla pretesa avversaria opponendo in compensazione un credito di importo superiore a quello posto in esecuzione. Egli si è prevalso infatti della pena convenzionale pattuita contrattualmente in caso di ritardo nella consegna dell’opera e pari a fr. 100.- per ogni giorno di ritardo; poiché il ritardo nella consegna della cucina è stato di almeno tre mesi, egli ritiene estinto il proprio debito nei confronti dell’istante, alla quale ha opposto in compensazione anche il danno cagionato alla fascia di chiusura della cucina, rovinata durante il montaggio. 2. Con il querelato giudizio il primo giudice, accertata la presenza  agli atti di un valido riconoscimento di debito limitatamente all’importo di fr. 1’500.-, ha concluso al parziale accoglimento dell’istanza respingendo in quanto non comprovata l’eccezione di compensazione sollevata dall’escusso. 3. Con il presente tempestivo gravame 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materiale in particolare per aver respinto, ancorché comprovate dalle risultanze istruttorie e dalle ammissioni della stessa parte istante, le sue pretese per danni opposte in compensazione a controparte a totale estinzione del credito da questa fatto valere in giudizio. Rimprovera inoltre al primo giudice di avere accolto, sebbene non comprovata la richiesta di controparte di pagamento degli interessi di mora al tasso del 6% dal 30 gennaio 1992.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Il titolo di credito sul quale si basa l’esecuzione in questione è la conferma d’ordine 30 luglio 1991 (doc. B) con la quale il convenuto riconosce di dovere all’istante fr. 31’500.- per la posa e fornitura della cucina da lui scelta, importo sul quale egli ha versato acconti per un totale di fr. 30’000.-. Questo documento costituisce valido riconoscimento di debito per l’importo ivi menzionato di complessivi fr. 31’500.- 6. Per l’art. 82 cpv. 2 LEF il giudice pronuncia il rigetto provvisorio dell’opposizione a meno che il debitore sollevi e giustifichi immediatamente eccezioni tali da invalidarlo. Incombe all’escusso l’onere di dimostrare la verosimiglianza delle eccezioni che deduce in giudizio. Secondo giurisprudenza le eccezioni non solo devono essere poste in modo convincente, ma devono anche essere sostanziate in modo perlomeno verosimile nel senso che a conforto delle allegazioni devono esserci riscontri oggettivi ( Rep 1987 pag. 150-151; Panchaud/Caprez, La mainlevée de l’opposition, 1980, § 26 pag. 61; BlSchK 1982 pag. 95-97; CEF 1°aprile 1993 in re M.AG/B.). Nella concreta fattispecie, la conclusione del primo giudice secondo la quale il convenuto non avrebbe reso sufficientemente verosimile l’esistenza del credito posto in compensazione -per un importo quantomeno corrispondente a quello in esecuzione- non è arbitraria. Contrariamente a quanto preteso dall’insorgente, dalle risultanze istruttorie non è infatti emersa l’esigibilità della pena convenzionale pattuita tra le parti (doc. B), in particolare che il ritardo nella consegna della cucina (5 giorni per l’istante, 3 mesi per il convenuto) fosse in qualche modo da addebitare all’istante e che quest’ultima fosse stata richiamata a una puntuale consegna della cucina ( Ehrat , in Comm. basilese, 1996, n. 14 e 15 ad art. 160 CO). La stessa carenza a livello probatorio si attua con riferimento alla pretesa per danni fatti valere dal convenuto. A fronte dell'ammissione dell’istante di aver cagionato un danno alla fascia di chiusura della cucina per la riparazione della quale le parti si sarebbero accordate nel senso che il convenuto avrebbe effettuato la riparazione inviando all’istante la relativa fattura, il ricorrente non solo non ha provato l’ammontare del danno, ma soprattutto non ha dimostrato di aver proceduto alla riparazione controversa: da qui l’impossibilità di riconoscergli un credito a questo titolo. In particolare, può, essere osservato che l'unico documento prodotto dall'escusso a sostegno della sua tesi liberatoria è un suo scritto in cui esprime la volontà di nulla più versare alla controparte. 7. Il ricorso deve invece essere accolto nella misura in cui rimprovera al primo giudice di aver riconosciuto all’istante interessi di mora del 6% dal 30 gennaio 1992. Poiché la legge oltre a riconoscere al creditore il diritto alla rifusione di interessi moratori in caso di ritardo del debitore nel pagamento di una somma di denaro, ne fissa pure il tasso e la decorrenza (art. 104 cpv. 1 e 102 CO), spetta al giudice verificare d’ufficio queste premesse ( SJZ 1957, pag. 292, n. 133). Nel caso di specie, in difetto di una diversa pattuizione tra le parti, gli interessi di mora devono essere riconosciuti all’istante al tasso legale del 5 % (art. 104 cpv. 1 CO), e ciò dal 26 febbraio 1997 (doc. A), data della prima interpellazione agli atti (art. 102 cpv 1 CO). 8. Il grado di soccombenza del ricorrente, pressoché totale sia in prima che seconda sede, giustifica l’attribuzione a quest’ultimo delle tasse e spese di entrambe le sedi giudiziarie. Analogo giudizio si giustifica anche per l'attribuzione delle ripetibili, malgrado l'intervento riformatorio in tema di interessi di mora. Per i quali motivi, richiamati gli art. 327 segg. CPC, per le spese l’art. 148 CPC e la vigente TarLEF pronuncia: I. Il ricorso per cassazione 26 maggio 1997 di __________ è parzialmente accolto . Di conseguenza la sentenza 14 maggio 1997 del Segretario assessore della Pretura del Distretto di Lugano, Sezione 5, limitatamente al dispositivo no. 1, è annullata e sostituita dal seguente giudicato: 1. L’istanza è parzialmente accolta. Di conseguenza l’opposizione interposta al PE no __________ dell’UE di  Lugano è respinta in via provvisoria limitatamente all’importo di fr. 1’500.- oltre interessi del 5 % dal 26 febbraio 1997. II. Tasse e spese del presente giudizio, per complessivi fr. 120.-, già anticipate dal ricorrente, rimangono a suo carico.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