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16.1997.52 vom 15. Juli 1997</w:t>
      </w:r>
    </w:p>
    <w:p>
      <w:r>
        <w:t>TI Tribunale d'appello, 1997-07-15, IT</w:t>
      </w:r>
    </w:p>
    <w:p>
      <w:r>
        <w:rPr>
          <w:b/>
        </w:rPr>
        <w:t xml:space="preserve">Quelle: </w:t>
      </w:r>
      <w:r>
        <w:t>https://mcp.opencaselaw.ch/entscheid/ti_gerichte_16.1997.52</w:t>
      </w:r>
    </w:p>
    <w:p>
      <w:r>
        <w:t>FR: TI_GERICHTE 16.1997.52 du 15 juillet 1997</w:t>
      </w:r>
    </w:p>
    <w:p>
      <w:r>
        <w:t>IT: TI_GERICHTE 16.1997.52 del 15 luglio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15.07.1997 16.1997.52</w:t>
      </w:r>
    </w:p>
    <w:p>
      <w:r>
        <w:t>Sentenza o decisione senza scheda</w:t>
      </w:r>
    </w:p>
    <w:p>
      <w:r>
        <w:t>Incarto n. 16.97.00052 Lugano 15 luglio 1997 /fb In nome della Repubblica e Cantone del Ticino La Camera di cassazione civile del Tribunale d'appello composta dei giudici: Chiesa, presidente, Cocchi e Giani segretaria: Petralli, vicecancelliera sedente per giudicare “l’appello” 15 aprile 1997 presentato da __________ patr. dall’avv. __________ contro la sentenza 7 marzo 1997 del Pretore della giurisdizione di Locarno-Campagna nella procedura di opposizione a decreto di accusa nell’ambito della quale è stata formulata una pretesa di risarcimento danni a opera di __________ e __________ patr. dall’avv. __________ tendente al pagamento di fr. 712.70 a titolo di risarcimento danni, domanda accolta dal giudice penale; letti ed esaminati gli atti, considerato in fatto e in diritto: che tra __________ e __________, proprietari del fondo n. __________ RFD __________ sul quale è edificato un posteggio, e __________, usufruttuaria del confinante fondo n. __________ al beneficio di una servitù- diritto di posteggio sul menzionato fondo, sono sorte controversie inerenti le modalità di utilizzo del posteggio, con particolare riferimento all’utilizzo del cancello elettrico istallato dai proprietari; che il 16 gennaio 1996 __________ e __________ hanno inoltrato nel confronti di __________ una denuncia penale chiedendo che quest’ultima venisse riconosciuta autrice colpevole del reato di danneggiamento del cancello e che quindi venisse condannata al pagamento di fr. 712.70, pari alle spese sostenute per la riparazione del medesimo e di cui alle fatture doc. 9 e 10; che con sentenza 7 marzo 1997 il Pretore della giurisdizione di Locarno-Campagna, confermando il decreto di accusa 20 agosto 1996 (DAP 1391/1996) ha riconosciuto __________ colpevole del reato di danneggiamento “per avere intenzionalmente danneggiato il cancello ad apertura elettrica che delimita il posteggio di proprietà __________ e __________, forzandolo”; che contestualmente alla condanna penale, il pretore ha accolto la pretesa risarcitoria dei denuncianti ritenendola sufficiente-mente comprovata sulla base delle fatture doc. 9 e 10; che con il presente tempestivo gravame, che deve essere trattato quale ricorso per cassazione in virtù dei combinati disposti di cui agli art. 15 CPC e 13 LOG,  __________ è insorta contro questo giudizio limitatamente al riconoscimento alla controparte dell’importo di fr. 712.70 a titolo di risarcimento danni, pretesa che a suo dire poteva essere accolta solo nella misura di fr. 305.70 pari al danno per il quale era stato provato e accertato dal primo giudice un nesso di causalità con il suo agire; che in applicazione dell’art. 321 cpv. 1 lett. b CPC va preliminarmente estromesso dall’incarto il preventivo 5 aprile 1997 allegato al ricorso; che giusta l’art. 329 cpv. 2 CPC il ricorso per cassazione, per esser considerato valido, deve contenere le domande di ricorso nonché i motivi di fatto e di diritto sui quali lo stesso si fonda precisando (o almeno descrivendo) il motivo di cassazione invocato: caso contrario l’atto è nullo (cpv. 3); che nella concreta fattispecie la ricorrente ripropone in questa sede la contestazione del quantum della pretesa risarcitoria dei denuncianti, con particolare riferimento alla fatturazione di un Decoder Faac e di un lampeggiatore Minilamp (doc. 9) per i quali, a suo dire, non risulterebbe la prova del danneggiamento ad opera sua, tant’è che il giudice penale ha accertato  unicamente la perdita di olio dai motori del cancello; che se è pur vero che relativamente alla quantificazione del danno la sentenza del primo giudice si limita a richiamare le fatture doc. 9 e 10, è altrettanto vero che queste fatture comprovano l’esecuzione di determinate riparazioni successive al danneggiamento del cancello ad opera della ricorrente: ciò basta a non rendere arbitraria la conclusione del pretore secondo la quale la ricorrente è responsabile del pagamento di queste riparazioni; che d’altra parte al pubblico dibattimento la denunciata si è limitata a contestare la fatturazione del decoder e di un lampeggiatore, senza aver tentato di provare la sua estraneità a questi danni, peraltro tempestivamente fatti valere con la querela penale (cfr. punto 4 e 7); che quindi, a prescindere dalla sua ricevibilità, il ricorso che non ha evidenziato nessun titolo di cassazione tale da giustificare l’annullamento della decisione pretorile, -annullamento che può concernere solo la decisione nel suo risultato e non la sua motivazione ( DTF 120 Ia 369 consid. 3a)- deve essere respinto;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infondato, Per i quali motivi, richiamati gli. 327 segg. CPC, per le spese l’art. 148 CPC e la vigente LTG pronuncia: 1. Il ricorso 15 aprile 1997 di __________, per quanto ricevibile, è respinto. 2. Le spese e la tassa di giustizia, per complessivi fr. 100.--, sono poste a carico della ricorrente. 3. Intimazione a: - __________ Comunicazione alla Pretura della giurisdizione di Locarno-Campagna Per la Camera di cassazione civile del Tribunale d’appello Il presidente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