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16.1997.40 vom 2. September 1997</w:t>
      </w:r>
    </w:p>
    <w:p>
      <w:r>
        <w:t>TI Tribunale d'appello, 1997-09-02, IT</w:t>
      </w:r>
    </w:p>
    <w:p>
      <w:r>
        <w:rPr>
          <w:b/>
        </w:rPr>
        <w:t xml:space="preserve">Quelle: </w:t>
      </w:r>
      <w:r>
        <w:t>https://mcp.opencaselaw.ch/entscheid/ti_gerichte_16.1997.40</w:t>
      </w:r>
    </w:p>
    <w:p>
      <w:r>
        <w:t>FR: TI_GERICHTE 16.1997.40 du 2 septembre 1997</w:t>
      </w:r>
    </w:p>
    <w:p>
      <w:r>
        <w:t>IT: TI_GERICHTE 16.1997.40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nel pomeriggio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6’961.30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w:t>
      </w:r>
    </w:p>
    <w:p>
      <w:r>
        <w:rPr>
          <w:b/>
        </w:rPr>
        <w:t>E. 6</w:t>
      </w:r>
    </w:p>
    <w:p>
      <w:r>
        <w:t>Con sentenza 27 febbraio 1997 il Pretore, in parziale accoglimento dell’istanza, ha condannato la convenuta al pagamento di fr. 5’049.60 oltre interessi ed alla rifusione di fr. 210.-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2’564.75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900.-, in via subordinata l’annullamento della sentenza pretorile ed il suo rinvio al giudice di prime cure per un nuovo giudizio, ed in via ancor più subordinata l’accoglimento dell’istanza limitatamente a fr. 1’496.95;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6’961.30 la TOA prescrive un onorario complessivo dal 10 al 20% (art. 9), l’indennità per ripetibili a favore della parte vincente potrebbe ammontare tra fr. 700.- e fr. 1’400.-;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 __________, è tenuta a versare a __________, l’importo di fr. 470.95, oltre ad interessi al 5% dal 01.01.1995. 3. Trattandosi di vertenza in materia di contratto di lavoro, non si prelevano né tasse né spese. La parte istante è tenuta a rifondere alla controparte l’importo di fr. 350.- a titolo di ripetibili. II. Non si prelevano né tasse, né spese per la procedura ricorsuale. La resistente rifonderà a controparte fr. 200.-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