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16.1997.107 vom 5. Februar 1998</w:t>
      </w:r>
    </w:p>
    <w:p>
      <w:r>
        <w:t>TI Tribunale d'appello, 1998-02-05, IT</w:t>
      </w:r>
    </w:p>
    <w:p>
      <w:r>
        <w:rPr>
          <w:b/>
        </w:rPr>
        <w:t xml:space="preserve">Quelle: </w:t>
      </w:r>
      <w:r>
        <w:t>https://mcp.opencaselaw.ch/entscheid/ti_gerichte_16.1997.107</w:t>
      </w:r>
    </w:p>
    <w:p>
      <w:r>
        <w:t>FR: TI_GERICHTE 16.1997.107 du 5 février 1998</w:t>
      </w:r>
    </w:p>
    <w:p>
      <w:r>
        <w:t>IT: TI_GERICHTE 16.1997.107 del 5 febbraio 1998</w:t>
      </w:r>
    </w:p>
    <w:p>
      <w:pPr>
        <w:pStyle w:val="Heading2"/>
      </w:pPr>
      <w:r>
        <w:t>Regeste</w:t>
      </w:r>
    </w:p>
    <w:p>
      <w:r>
        <w:t>Sentenza o decisione senza scheda</w:t>
      </w:r>
    </w:p>
    <w:p>
      <w:pPr>
        <w:pStyle w:val="Heading2"/>
      </w:pPr>
      <w:r>
        <w:t>Volltext</w:t>
      </w:r>
    </w:p>
    <w:p>
      <w:r>
        <w:t>Ticino Tribunale di appello diritto civile La Camera di cassazione civile 05.02.1998 16.1997.107</w:t>
      </w:r>
    </w:p>
    <w:p>
      <w:r>
        <w:t>Sentenza o decisione senza scheda</w:t>
      </w:r>
    </w:p>
    <w:p>
      <w:r>
        <w:t>Incarto n. 16.97.00107 Lugano 5 febbraio 1998/cs In nome della Repubblica e Cantone del Ticino La Camera di cassazione civile del Tribunale d'appello composta dei giudici: Chiesa, presidente, Cocchi e Giani segretaria: Petralli, vicecancelliera sedente per giudicare il ricorso per cassazione 3 ottobre 1997 presentato da __________ patr. dall’avv. __________ contro la sentenza 22 settembre 1997 del Pretore del Distretto di Lugano, sezione 1, nella causa civile inappellabile promossa con istanza 8 agosto 1997 da __________ con la quale l’istante ha chiesto il pagamento di fr. 1’524.40 oltre accessori nonché il rigetto in via definitiva dell’opposizione interposta dalla convenuta al PE no. __________ dell’UE di Lugano, domande accolte dal primo giudice, letti ed esaminati gli atti considerato in fatto e in diritto: 1. Con istanza 8 agosto 1997 la __________ ditta che si occupa del trasporto internazionale di merci, ha convenuto in giudizio __________ al fine di ottenere il pagamento di fr. 1’524.40 corrispondenti ai costi sostenuti per il trasporto e la consegna di merce all’__________ di __________ su incarico di quest’ultima. La convenuta si è opposta alla pretesa avversaria lamentando la carente esecuzione del mandato ad opera dell’istante poiché anziché consegnare la merce entro 3 giorni, essa l’ha consegnata dopo 3 settimane. 2. Con il querelato giudizio il primo giudice, accertata la conclusione tra le parti di un contratto di trasporto ai sensi degli art. 440 segg. CO, ritenuto che la convenuta non ha fatto valere nessun danno derivante dal ritardo dell’istante nella consegna della merce per la quale aveva prospettato un termine di 2-3 giorni, ha accolto l’istanza. 3. Con il presente tempestivo gravame __________ è insorta contro il predetto giudizio postulandone l’annullamento. La ricorrente ritiene arbitraria la sentenza pretorile per il fatto che il primo giudice non avrebbe dedotto dal ritardo dell’istante nella consegna della merce un caso di inadempimento del contratto, con conseguente suo esonero dal pagamento della pretesa avversaria. Al ricorso la controparte non ha formulato osservazioni. 4. 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Alla luce dei criteri sopra esposti la sentenza impugnata non può essere considerata arbitraria. Infatti, posto che il perfezionamento del contratto di trasporto si ha con la consegna della merce ( Stähelin in Comm. basilese 1996, n. 5 ad art. 440 CO) -prestazione alla quale l’istante ha indubbiamente fatto fronte- un’eventuale eccezione di inadempimento del contratto sarebbe proponibile unicamente nel caso in cui le parti avessero stabilito un termine per la consegna. In concreto la convenuta non ha provato simile pattuizione, non bastando a tal fine il richiamo al generico contenuto dello scritto 29 marzo 1996 (doc. 4) nel quale l’istante pubblicizza i suoi servizi proponendo un termine di consegna “generalmente in 2-3 giorni”. Mancando la prova dell’inadempimento, la convenuta non può quindi validamente opporsi al pagamento della richiesta mercede. 6. In questa sede la ricorrente invoca l’errore essenziale: l’eccezione è irricevibile in virtù dell’art. 321 CPC. 7. Alla controparte che non ha presentato osservazioni al ricorso non vengono assegnate ripetibili per questa sede. Per i quali motivi, richiamati gli art. 327 segg. CPC, per le spese l’art. 148 CPC e la LTG pronuncia: 1. Il ricorso per cassazione 3 ottobre 1997 di __________ è respinto. 2. Le spese del presente giudizio, consistenti in: a) tassa di giustizia      fr. 70.- b) spese                         fr. 50.- fr. 120.- già anticipate dalla ricorrente rimangono a suo carico. 3. Intimazione a: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