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16.1995.154 vom 29. August 1996</w:t>
      </w:r>
    </w:p>
    <w:p>
      <w:r>
        <w:t>TI Tribunale d'appello, 1996-08-29, IT</w:t>
      </w:r>
    </w:p>
    <w:p>
      <w:r>
        <w:rPr>
          <w:b/>
        </w:rPr>
        <w:t xml:space="preserve">Quelle: </w:t>
      </w:r>
      <w:r>
        <w:t>https://mcp.opencaselaw.ch/entscheid/ti_gerichte_16.1995.154</w:t>
      </w:r>
    </w:p>
    <w:p>
      <w:r>
        <w:t>FR: TI_GERICHTE 16.1995.154 du 29 août 1996</w:t>
      </w:r>
    </w:p>
    <w:p>
      <w:r>
        <w:t>IT: TI_GERICHTE 16.1995.154 del 29 agosto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Per quanto concerne il danno fatto valere dall’istante a titolo di fermo tecnico, va rilevato che tale indennità  è dovuta indipendentemente dal fatto che il danneggiato utilizzi o meno il veicolo a scopo professionale e addirittura indipendentemente dal fatto che egli noleggi o meno un veicolo sostitutivo. In questa nozione rientrano infatti non solo i costi effettivi sopportati dal danneggiato, quali: spese di noleggio, oneri assicurativi, tasse di circolazione, locazione garage, ecc, ma anche i disagi che gli derivano dal fatto di non poter disporre del  veicolo ( Rep 1976 43; JdT 1976 43, 1969 I 478; II CCA 7 aprile 1993 in re V./R. e Zurigo Assicurazioni). Ritenuto quindi che il fermo tecnico non può essere necessariamente provato, perlomeno non nel caso di danno totale come in concreto, questa Camera ritiene giustificato e attendibile l’importo di fr. 150.- esposto dall’istante (art. 42 cpv. 2 CO) sia per quanto attiene al suo ammontare (fr. 15.- al giorno) che per la durata di 10 giorni che può corrispondere al tempo necessario per la ricerca di un nuovo veicolo. In parziale accoglimento del ricorso e in applicazione dell’art. 332 cpv. 2 CPC, all’importo riconosciuto dal primo giudice in  favore dell’istante dev’essere sommato quello di fr. 120.- (20% di fr. 150.-).</w:t>
      </w:r>
    </w:p>
    <w:p>
      <w:r>
        <w:rPr>
          <w:b/>
        </w:rPr>
        <w:t>E. 9</w:t>
      </w:r>
    </w:p>
    <w:p>
      <w:r>
        <w:t>A dipendenza dell’esito del ricorso, non si giustifica una modifica del dispositivo n. 2 della sentenza impugnata, né una ripartizione delle spese, della tassa di giustizia e delle ripetibili del presente giudizio. Per i quali motivi, richiamati gli art. 327 segg. CPC, per le spese l’art. 148 CPC e la vigente LTG pronuncia: I. Il ricorso per cassazione2 ottobre 1995 __________ è parzialmente accolto. Di conseguenza la sentenza 4 settembre 1995 del Segretario assessore del Distretto di Bellinzona -immutato il dispositivo no. 2- è annullata e sostituita dal  seguente giudicato: 1.  L’istanza è parzialmente accolta. Di conseguenza     __________ e la __________ sono condannati in solido a pagare a __________ la somma di fr. 1’245.- oltre interessi del                       5% dal 27 settembre 1992. II. Le spese del presente giudizio, consistenti in: a) tassa di giustizia                           fr.      200.- b) spese                                             fr.         50.- fr. 250.- già anticipate dal ricorrente, rimangono a suo carico. Egli verserà ad __________ e alla __________ , in solido, fr. 300.-  a titolo di ripetibili di questa sede. III. Intimazione a: - __________ Comunicazione alla Pretura del Distretto di Bellinzona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