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15.2025.7 vom 21. Mai 2025</w:t>
      </w:r>
    </w:p>
    <w:p>
      <w:r>
        <w:t>TI Tribunale d'appello, 2025-05-21, IT</w:t>
      </w:r>
    </w:p>
    <w:p>
      <w:r>
        <w:rPr>
          <w:b/>
        </w:rPr>
        <w:t xml:space="preserve">Quelle: </w:t>
      </w:r>
      <w:r>
        <w:t>https://mcp.opencaselaw.ch/entscheid/ti_gerichte_15.2025.7</w:t>
      </w:r>
    </w:p>
    <w:p>
      <w:r>
        <w:t>FR: TI_GERICHTE 15.2025.7 du 21 mai 2025</w:t>
      </w:r>
    </w:p>
    <w:p>
      <w:r>
        <w:t>IT: TI_GERICHTE 15.2025.7 del 21 maggio 2025</w:t>
      </w:r>
    </w:p>
    <w:p>
      <w:pPr>
        <w:pStyle w:val="Heading2"/>
      </w:pPr>
      <w:r>
        <w:t>Regeste</w:t>
      </w:r>
    </w:p>
    <w:p>
      <w:r>
        <w:t>Ricorso contro l’elenco oneri. Contestazione del grado delle ipoteche legali dirette a garanzie d’imposte cantonali, postergato rispetto a quello dei pegni della banca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ricorso, il Cantone premette che giusta l’art. 36 RFF l’UE può rifiutare l’iscrizione nell’elenco oneri di un’ipoteca legale, tempestivamente insinuata, solo se, con riguardo al pegno, è manifesta l’assenza di un onere reale sul fondo da licitare oppure, con riguardo al credito garantito, è manifesta l’assenza di una base legale che ponga la pretesa al beneficio dell’onere reale; dubbi sul­l’esistenza o sull’ammontare del credito insinuato non autorizzano invece l’Ufficio a rifiutarne l’iscrizione nell’elenco oneri né a modificarla. Ricorda poi i presupposti perché un’ipoteca legale giusta gli art. 836 cpv. 2 CC (oltreché 183 a cpv. 2 LAC e 252 LT), un’i­poteca legale, che secondo il diritto cantonale nasce senza iscrizio­ne, sia opponibile a terzi. Ciò premesso, il Cantone evidenzia che “nel caso specifico, oggetto del contendere è la postergazione e il mancato riconoscimento del rango privilegiato delle ipoteche legali fatte valere dallo Stato” . Sostiene che i termini d’iscrizione nel registro fondiario, stabiliti dall’art. 836 CC, delle ipoteche legali fatte valere a garanzia delle pretese insinuate non sono ancora trascor­si. Chiede pertanto la riforma dell’elenco oneri, nel senso d’iscri­vere le ipoteche legali a garanzia dei noti crediti fiscali in posizione precedente rispetto alle cartelle ipotecarie.</w:t>
      </w:r>
    </w:p>
    <w:p>
      <w:r>
        <w:rPr>
          <w:b/>
        </w:rPr>
        <w:t>E. 3</w:t>
      </w:r>
    </w:p>
    <w:p>
      <w:r>
        <w:t>Nelle sue osservazioni, PI 1 condivide l’operato del­l’UE, che sostiene essere non “un rifiuto alla richiesta d’iscrizione o di una modifica della garanzia reale, ma del grado dell’iscrizione nel­l’elenco oneri determinato dalla mancata iscrizione a Registro fondiario” . Prende atto che il Cantone ammette di non aver ancora notificato decisioni di tassazione e aggiunge ch’egli ha impugnato i conteggi per la quantificazione delle ipoteche legali in discussio­ne. Chiede pertanto la reiezione del ricorso.</w:t>
      </w:r>
    </w:p>
    <w:p>
      <w:r>
        <w:rPr>
          <w:b/>
        </w:rPr>
        <w:t>E. 4</w:t>
      </w:r>
    </w:p>
    <w:p>
      <w:r>
        <w:t>Il ricorrente misconosce che l’UE non ha rifiutato d’iscrivere le pretese da lui insinuate, ma le ha solo registrate con un grado posteriore a quello dei crediti insinuati dalla banca. Vero è che, di principio, l’ufficio d’esecuzione non può rifiutarsi d’iscrivere nell’elenco oneri pretese tempestivamente insinuate né modificarle (art. 36 cpv. 2 RFF [ RS 281.42] ), salvo che sia manifesta l’assenza di una base legale che ponga il credito a beneficio del pegno indicato nell’insinuazione ( DTF 117 III 38 consid. 3; sentenza della CEF 15.2021.29 del 30 aprile 2021 pag. 3, RtiD 2021 II 780 n. 54c ). Nel caso in esame, contrariamente a quanto allega nel ricors o, il Cantone non ha però richiesto nell’insinuazione di essere iscritto in gra­do privilegiato rispetto alla banca. Si è infatti limitato a rivendicare l’iscrizione d’ipoteche legali ai sensi dell’art. 836 CC, ma senza precisarne il grado né alludere a un’ipotetica malafede della banca (v. quarto quadrettino delle osservazioni a tergo dell’insinuazione del 20 settembre 2023).</w:t>
      </w:r>
    </w:p>
    <w:p>
      <w:r>
        <w:rPr>
          <w:b/>
        </w:rPr>
        <w:t>E. 4.1</w:t>
      </w:r>
    </w:p>
    <w:p>
      <w:r>
        <w:t>Spettava dunque all’ufficio d’esecuzione stabilirlo d’ufficio (art. 34 cpv. 1 lett. b RFF), sotto riserva di una successiva contestazione da risolversi nell’apposita causa giudiziaria di contestazione dell’e­lenco oneri (art. 140 cpv. 2 LEF). Trattandosi di pretese per cui l’ente pubblico rivendica un’ipot eca legale non iscritta a registro fondiario entro i termini stabiliti dall’art . 836 cpv. 2 CC, esse vanno iscritte nell’elenco oneri dopo i pegni iscritti nel registro fondiario, ove non vi siano indizi che il loro titolare abbia fatto iscrivere nel registro il proprio diritto (in malafede ) sapendo dell’esistenza del­l’i­poteca legale, con la menzione della sua inopponibilità agli altri pegni secondo l’art. 836 cpv. 2 CC, norma di diritto federale che prevale su quelle cantonali di cui agli art. 252 LT e 183 a LAC (art. 49 cpv. 1 Cost.; “Bundesrecht bricht kantonales Recht” ) (sentenze della CEF 15.2022.50 del 20 settembre 2022, consid. 5.4.1 e 5.4.2, e 15.2022.51 del 7 ottobre 2022, consid. 5.4.1 e 5.4.2). Dal profilo formale , dunque, l’operato dell’UE non presta il fianco alla critica.</w:t>
      </w:r>
    </w:p>
    <w:p>
      <w:r>
        <w:rPr>
          <w:b/>
        </w:rPr>
        <w:t>E. 4.2</w:t>
      </w:r>
    </w:p>
    <w:p>
      <w:r>
        <w:t>Nel chiedere la riforma dell’elenco oneri nel senso di privilegiare i crediti fiscali rispetto a quelli della banca, i l Cantone solleva una questione sostanziale , relativa al grado del proprio pegno, che sfugge alla cognizione dell’UE e della Camera nella sua veste di autorità di vigilanza (art. 17 cpv. 1 LEF), poiché va fatta valere mediante azione di appuramento dell’elenco oneri al giudice civile (DTF 141 III 141 consid. 4.2), ancorché si tratti di crediti fiscali (sentenze del Tribunale federale 2P.356-358 del 30 giugno 1999; citata CEF 15.2022.51 del 7 ottobre 2022, consid. 3.6 e i riferimenti). Al riguardo, il ricorso è pertanto irricevibile.</w:t>
      </w:r>
    </w:p>
    <w:p>
      <w:r>
        <w:rPr>
          <w:b/>
        </w:rPr>
        <w:t>E. 4.3</w:t>
      </w:r>
    </w:p>
    <w:p>
      <w:r>
        <w:t>Tuttavia, il ricorso va considerato come contestazione dell’elenco oneri circa il grado delle ipoteche legali del Cantone nel senso degli art. 140 cpv. 2 LEF e 37 cpv. 2 RFF (cfr. sentenza della CEF 15.2018.38 del 5 ottobre 2018 consid. 2.1 e 3), formulata tempestivamente (art. 140 cpv. 2, 1° periodo LEF) entro dieci giorni dalla comunicazione del provvedimento (sopra consid. 1). Poiché da un accertamento effettuato d’ufficio dalla Camera (art. 20 a cpv. 2 n. 2 LEF e 19 cpv. 1 LPR) risulta che l’UE non ha ancora impartito al Cantone il termine di venti giorni per proporre l’azione di appura-mento dell’elenco oneri (art. 107 cpv. 5 LEF per il rinvio degli art. 140 cpv. 2, 2° periodo e 39, 1° periodo RFF), occorre, in parziale accoglimento del ricorso, ordinarglielo, con il rilievo che l’onere del­l’azione dev’essere posto a carico di chi chiede la modifica del diritto contestato (art. 39, 2° periodo RFF) , anche quando si tratti di un diritto di pegno valido senza iscrizione nel registro fondiario (art. 39, 2° periodo RFF nelle versioni tedesca e francese ; sentenza della CEF 15.2013.81 del 27 febbraio 2016, RtiD 2014 II 896 n. 58c, consid. 3 i.f. ).</w:t>
      </w:r>
    </w:p>
    <w:p>
      <w:r>
        <w:rPr>
          <w:b/>
        </w:rPr>
        <w:t>E. 4.4</w:t>
      </w:r>
    </w:p>
    <w:p>
      <w:r>
        <w:t>Il ricorrente è però invitato a valutare attentamente l’opportunità di una simile azione, giacché, contrariamente a quanto pare ritenere, la questione del grado delle sue pretese rispetto a quelle della banca, fondate su iscrizioni anteriori al 2004, non dipende tanto dall’iscrizione delle ipoteche legali nel registro fondiario – al riguar­do le disquisizioni nel ricorso sui termini dell’art. 836 cpv. 2 CC sono senza rilievo, anche perché l’UE non vi si è riferito nel provvedimento impugnato – quanto dalla questione della buona fede della banca (sopra consid. 4.1).</w:t>
      </w:r>
    </w:p>
    <w:p>
      <w:r>
        <w:rPr>
          <w:b/>
        </w:rPr>
        <w:t>E. 5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Nella misura in cui è ricevibile, il ricorso è parzialmente accolto nel senso che è fatto ordine all’Ufficio d’esecuzione di assegnare allo Stato del Cantone Ticino un termine di venti giorni per proporre l’azione di appuramento dell’elenco oneri relativo al fondo n. __________2 RFD __________. 2. Non si prelevano spese né si assegnano indennità. 3. Notificazione a all’Ufficio d’esecuzione, Locarno, e, per il suo tramite, a tutti gl’interessati.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