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15.2024.66 vom 22. Juli 2024</w:t>
      </w:r>
    </w:p>
    <w:p>
      <w:r>
        <w:t>TI Tribunale d'appello, 2024-07-22, IT</w:t>
      </w:r>
    </w:p>
    <w:p>
      <w:r>
        <w:rPr>
          <w:b/>
        </w:rPr>
        <w:t xml:space="preserve">Quelle: </w:t>
      </w:r>
      <w:r>
        <w:t>https://mcp.opencaselaw.ch/entscheid/ti_gerichte_15.2024.66</w:t>
      </w:r>
    </w:p>
    <w:p>
      <w:r>
        <w:t>FR: TI_GERICHTE 15.2024.66 du 22 juillet 2024</w:t>
      </w:r>
    </w:p>
    <w:p>
      <w:r>
        <w:t>IT: TI_GERICHTE 15.2024.66 del 22 luglio 2024</w:t>
      </w:r>
    </w:p>
    <w:p>
      <w:pPr>
        <w:pStyle w:val="Heading2"/>
      </w:pPr>
      <w:r>
        <w:t>Regeste</w:t>
      </w:r>
    </w:p>
    <w:p>
      <w:r>
        <w:t>Determinazione del modo di realizzazione dei diritti in una comunione ereditaria. Nullità dei sequestri e delle esecuzioni a convalida degli stessi posteriori al decesso del debitore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Nella fattispecie, poiché PI 1 è deceduta nel 2018 (atto di morte dell’Ufficio statale di __________, del 27 novembre 2018), o vvero anteriormente – persino – al primo decreto di sequestro pro­nunciato nei suoi confronti, nel 2020, tutti i sequestri decretati a suo carico sono nulli e l’Ufficio avrebbe pertanto dovuto rifiutarsi di eseguirli; per lo stesso motivo, sono nulle anche le successive esecuzioni a convalida dei sequestri. La Camera non può che pren­dere atto della situazione e invitare l’UE a radiare le esecuzioni dal relativo registro.</w:t>
      </w:r>
    </w:p>
    <w:p>
      <w:r>
        <w:rPr>
          <w:b/>
        </w:rPr>
        <w:t>E. 3</w:t>
      </w:r>
    </w:p>
    <w:p>
      <w:r>
        <w:t>Stante la nullità degli atti esecutivi pregressi, che va rilevata d’ufficio ( art. 22 cpv. 1 LEF), è inutile determinare il modo di realizza zione dell’interessenza pignorata, sicché l’istanza risulta senza og­getto e deve di conseguenza essere stralciata dai ruoli (art. 24 b cpv. 1 LPR). Secondo la giurisprudenza del Tribunale federale, in una simile ipotesi il creditore deve dirigere contro gli eredi l’istanza di sequestro degli attivi della comunione ereditaria e l’esecuzione a convalida del sequestro (citata DTF 149 III 34 consid. 3.5.5).</w:t>
      </w:r>
    </w:p>
    <w:p>
      <w:r>
        <w:rPr>
          <w:b/>
        </w:rPr>
        <w:t>E. 4</w:t>
      </w:r>
    </w:p>
    <w:p>
      <w:r>
        <w:t>Comunicazione all'Ufficio d’esecuzione, Lugano, e, per il suo tramite, a tutti gl’interessati.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