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15.2024.37 vom 22. Juli 2024</w:t>
      </w:r>
    </w:p>
    <w:p>
      <w:r>
        <w:t>TI Tribunale d'appello, 2024-07-22, IT</w:t>
      </w:r>
    </w:p>
    <w:p>
      <w:r>
        <w:rPr>
          <w:b/>
        </w:rPr>
        <w:t xml:space="preserve">Quelle: </w:t>
      </w:r>
      <w:r>
        <w:t>https://mcp.opencaselaw.ch/entscheid/ti_gerichte_15.2024.37</w:t>
      </w:r>
    </w:p>
    <w:p>
      <w:r>
        <w:t>FR: TI_GERICHTE 15.2024.37 du 22 juillet 2024</w:t>
      </w:r>
    </w:p>
    <w:p>
      <w:r>
        <w:t>IT: TI_GERICHTE 15.2024.37 del 22 luglio 2024</w:t>
      </w:r>
    </w:p>
    <w:p>
      <w:pPr>
        <w:pStyle w:val="Heading2"/>
      </w:pPr>
      <w:r>
        <w:t>Regeste</w:t>
      </w:r>
    </w:p>
    <w:p>
      <w:r>
        <w:t>Comminatoria di fallimento. Mancato ritiro da parte dell’escusso della sentenza di rigetto provvisorio dell’opposizione, ma non dell’assegnazione del termine per presentare osservazioni scritte all’istanza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Non si prelevano spese né si assegnano indennità.</w:t>
      </w:r>
    </w:p>
    <w:p>
      <w:r>
        <w:rPr>
          <w:b/>
        </w:rPr>
        <w:t>E. 3</w:t>
      </w:r>
    </w:p>
    <w:p>
      <w:r>
        <w:t>Notificazione a: –    ; –  . Comunicazione all’Ufficio d’esecuzione, Bellinzona. Per la Camera di esecuzione e fallimenti del Tribunale d’appello Il presidente                                                            Il cancelliere Rimedi giuridici Contro la presente decisione è possibile presentare ricorso in materia civile al Tribunale federale, 1000 Losanna 14, entro dieci giorni dalla notificazione, ridotti a cinque ove la decisione impugnata sia stata pronunciata nell’ambito di un’esecuzione cambiaria (art. 74 cpv. 2 lett. c, 100 cpv. 2 lett. a e cpv. 3 lett. a LTF). Il termine non è sospeso durante le ferie giudiziarie nei casi previsti all’art. 46 cpv. 2 LTF.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