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15.2024.36 vom 29. April 2024</w:t>
      </w:r>
    </w:p>
    <w:p>
      <w:r>
        <w:t>TI Tribunale d'appello, 2024-04-29, IT</w:t>
      </w:r>
    </w:p>
    <w:p>
      <w:r>
        <w:rPr>
          <w:b/>
        </w:rPr>
        <w:t xml:space="preserve">Quelle: </w:t>
      </w:r>
      <w:r>
        <w:t>https://mcp.opencaselaw.ch/entscheid/ti_gerichte_15.2024.36</w:t>
      </w:r>
    </w:p>
    <w:p>
      <w:r>
        <w:t>FR: TI_GERICHTE 15.2024.36 du 29 avril 2024</w:t>
      </w:r>
    </w:p>
    <w:p>
      <w:r>
        <w:t>IT: TI_GERICHTE 15.2024.36 del 29 aprile 2024</w:t>
      </w:r>
    </w:p>
    <w:p>
      <w:pPr>
        <w:pStyle w:val="Heading2"/>
      </w:pPr>
      <w:r>
        <w:t>Volltext</w:t>
      </w:r>
    </w:p>
    <w:p>
      <w:r>
        <w:t>Incarto n.15.2024.36</w:t>
      </w:r>
    </w:p>
    <w:p>
      <w:r>
        <w:t>Lugano</w:t>
      </w:r>
    </w:p>
    <w:p>
      <w:r>
        <w:t>10 luglio 2024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cancelliere:</w:t>
      </w:r>
    </w:p>
    <w:p>
      <w:r>
        <w:t>Cortese</w:t>
      </w:r>
    </w:p>
    <w:p>
      <w:r>
        <w:t>statuendo sul ricorso 16 aprile 2024 dell</w:t>
      </w:r>
    </w:p>
    <w:p>
      <w:r>
        <w:t>RI 1</w:t>
      </w:r>
    </w:p>
    <w:p>
      <w:r>
        <w:t>contro</w:t>
      </w:r>
    </w:p>
    <w:p>
      <w:r>
        <w:t>loperato dellUfficio desecuzione,sede di Locarno, o meglio contro lattestato di carenza beni emesso il 12 aprile 2024 nellesecuzione n. __________ promossa dal ricorrente nei confronti di</w:t>
      </w:r>
    </w:p>
    <w:p>
      <w:r>
        <w:t>PI 1</w:t>
      </w:r>
    </w:p>
    <w:p>
      <w:r>
        <w:t>preso atto che con decisione del 29 aprile 2024 lUfficio desecuzione ha riconsiderato il provvedimento impugnato annullandolo, unitamente alle relative spese, dopo aver ritenuto necessario, alla luce degli argomenti presentati dal ricorrente, convocare nuovamen­telescusso;</w:t>
      </w:r>
    </w:p>
    <w:p>
      <w:r>
        <w:t>ritenuto che il nuovo provvedimento non è stato impugnato;</w:t>
      </w:r>
    </w:p>
    <w:p>
      <w:r>
        <w:t>atteso che giusta lart. 17 cpv. 4 LEF lufficio può riconsiderare il provvedimento impugnato fino allinvio della sua risposta, dovendo esso in tal caso emanare una nuova decisione e notificarla senzindugio alle parti e allautorità di vigilanza;</w:t>
      </w:r>
    </w:p>
    <w:p>
      <w:r>
        <w:t>ricordato che se il nuovo provvedimento accoglie integralmente le richieste del ricorrente, lautorità di vigilanza stralcia il ricorso dai ruoli (DTF 126 III 85 consid. 3; art.24bcpv. 1 LPR);</w:t>
      </w:r>
    </w:p>
    <w:p>
      <w:r>
        <w:t>considerato che nella fattispecie la nuova decisione dellUE non accoglie invero tutte le richieste del ricorrente, il quale chiedeva anche lemissione di un nuovo verbale di pignoramento dello stipendio dellescusso di fr. 1'368.60 mensili;</w:t>
      </w:r>
    </w:p>
    <w:p>
      <w:r>
        <w:t>visto che lUE si è già incaricato di sentire nuovamente lescusso alla luce degli argomenti del ricorso e di procedere allallestimento di un nuovo verbale di pignoramento, sicché non è opportuno che la Camera proceda essa stessa allistruttoria, fermo restando che al ricorrente rimarrà sempre la facoltà di contestare il nuovo provvedimento dellUE ove non lo dovesse condividere;</w:t>
      </w:r>
    </w:p>
    <w:p>
      <w:r>
        <w:t>rammentato che in materia di vigilanza non si preleva la tassa di giustizia e non si assegnano indennità (art. 61 cpv. 2 lett. a e 62 cpv. 2 OTLEF[RS 281.35]).</w:t>
      </w:r>
    </w:p>
    <w:p>
      <w:r>
        <w:t>    ;</w:t>
      </w:r>
    </w:p>
    <w:p>
      <w:r>
        <w:t> 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