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15.2024.18 vom 17. Januar 2024</w:t>
      </w:r>
    </w:p>
    <w:p>
      <w:r>
        <w:t>TI Tribunale d'appello, 2024-01-17, IT</w:t>
      </w:r>
    </w:p>
    <w:p>
      <w:r>
        <w:rPr>
          <w:b/>
        </w:rPr>
        <w:t xml:space="preserve">Quelle: </w:t>
      </w:r>
      <w:r>
        <w:t>https://mcp.opencaselaw.ch/entscheid/ti_gerichte_15.2024.18_d20240117</w:t>
      </w:r>
    </w:p>
    <w:p>
      <w:r>
        <w:t>FR: TI_GERICHTE 15.2024.18 du 17 janvier 2024</w:t>
      </w:r>
    </w:p>
    <w:p>
      <w:r>
        <w:t>IT: TI_GERICHTE 15.2024.18 del 17 gennaio 2024</w:t>
      </w:r>
    </w:p>
    <w:p>
      <w:pPr>
        <w:pStyle w:val="Heading2"/>
      </w:pPr>
      <w:r>
        <w:t>Regeste</w:t>
      </w:r>
    </w:p>
    <w:p>
      <w:r>
        <w:t>Comminatoria di fallimento. Contestazione dell’escusso della sua iscrizione nel registro di commercio come titolare di un’impresa individuale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LEF e i rinvii); che sarebbe spettato al ricorrente chiedere la cancellazione della ditta individuale ove non fossero più dati i motivi dell’iscrizione; che sebbene ne dovesse chiedere e ottenere ora la cancellazione, egli rimarrebbe in ogni caso soggetto alla via del fallimento per sei mesi (art. 40 LEF); che il ricorso va pertanto respinto; che per legge non si preleva la tassa di giustizia e non si assegnano indennità (art. 20 a cpv. 2 n. 5 LEF, 61 cpv. 2 lett. a e 62 cpv. 2 OTLEF [ RS 281.35 ] ). Per questi motivi, pronuncia:              1. Il ricorso è respinto. 2. Non si prelevano spese né si assegnano indennità. 3. Notificazione a __________   . Comunicazione all’Ufficio d’esecuzione, Lugano.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