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15.2024.130 vom 14. Februar 2025</w:t>
      </w:r>
    </w:p>
    <w:p>
      <w:r>
        <w:t>TI Tribunale d'appello, 2025-02-14, IT</w:t>
      </w:r>
    </w:p>
    <w:p>
      <w:r>
        <w:rPr>
          <w:b/>
        </w:rPr>
        <w:t xml:space="preserve">Quelle: </w:t>
      </w:r>
      <w:r>
        <w:t>https://mcp.opencaselaw.ch/entscheid/ti_gerichte_15.2024.130</w:t>
      </w:r>
    </w:p>
    <w:p>
      <w:r>
        <w:t>FR: TI_GERICHTE 15.2024.130 du 14 février 2025</w:t>
      </w:r>
    </w:p>
    <w:p>
      <w:r>
        <w:t>IT: TI_GERICHTE 15.2024.130 del 14 febbraio 2025</w:t>
      </w:r>
    </w:p>
    <w:p>
      <w:pPr>
        <w:pStyle w:val="Heading2"/>
      </w:pPr>
      <w:r>
        <w:t>Regeste</w:t>
      </w:r>
    </w:p>
    <w:p>
      <w:r>
        <w:t>Determinazione del modo di realizzazione dell’interessenza dell’escusso nella comunione ereditaria del padre. Comunione già sciolta ed eredità già divisa giudizialmente. Intervento dell’Ufficiale quale autorità dell’art. 609 CC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cpv. 1 ODiC), dando poi loro la facoltà di formulare proposte sul modo di realizzazione (art. 10 cpv. 1 ODiC). L’autorità di vigilanza deve determinare il modo di realizzazione dei diritti ereditari dell’escusso (art. 132 cpv. 1 LEF) scegliendo tra la messa all’asta oppure lo scioglimento della comunione, con consecutiva liquidazione del patrimonio comune (cfr. art. 10 cpv. 2 ODiC). 2. Tuttavia, se viene chiesta la realizzazione di una quota ereditaria pignorata, ma in quel momento sono già stati chiesti lo scioglimento della comunione e la divisione dell’eredità, il tentativo di conciliazione (art. 9 ODiC) è superfluo e l’autorità di vigilanza non può né ordinare una vendita agl’incanti della quota (art. 11 ODiC), né nominare l’ufficio d’esecuzione o un amministratore per esercitare tutti i diritti spettanti all’escusso (art. 12, 1° periodo ODiC); la realizzazione verte allora sui beni comuni spettanti all’escusso in esito alla divisione dell’eredità (art. 14 cpv. 1 e 3 ODiC). Inoltre, anziché presentare all’autorità di vigilanza un’istanza tesa a determinare il modo di realizzazione della quota, l’ufficio d’esecuzio­ne deve presentarne una d’intervento all’autorità ai sensi dell’art. 609 cpv. 1 CC (art. 12, 2° periodo ODiC) (DTF 110 III 46; sentenza del Tribunale federale 7B.26/2002 del 22 febbraio 2002, consid. 4). 2.1 Nella fattispecie, poiché non solo PI 4 ha già chiesto lo scioglimento della CE e la divisione dell’eredità, ma il Pretore li ha anche ordinati, questa Camera non deve pronunciarsi sul modo di realizzazione dell’interessenza di PI 2. Sotto questo profilo, l’istanza è pertanto senza oggetto. 2.2 Giova però ordinare all’autorità competente ai sensi dell’art. 609 CC – nel Ticino è l’ufficiale delle esecuzioni (art. 96 cpv. 2 LAC) – d’intervenire, sotto la vigilanza di questa Camera, nella procedura di divisione in rappresentanza dell’escusso e nel suo interesse, così come in quello del suo creditore ( cfr. art. 12, 2° periodo ODiC; sopra consid. 2; DTF 129 III 316 consid. 3; sentenza della CEF 15.2024.92 dell’8 gennaio 2025, consid. 2.3.2 e 2.4 ) . Per economia di procedura, l’intervento va ordinato direttamente dalla Camera nella sua veste di autorità di vigilanza (anche) sull’autorità t icinese ai sensi dell’art. 609 CC (sentenza 15.2023.122 del 25 set­tembre 2024 consid. 4.1.2). 3. Per legge non si preleva la tassa di giustizia e non si assegnano indennità (art. 20 a cpv. 2 n. 5 LEF, 61 cpv. 2 lett. a e 62 cpv. 2 OTLEF [ RS 281.35 ] ). Per questi motivi, pronuncia:              1. Nella misura in cui non è senza oggetto, l’istanza è accolta, nel senso che è fatto ordine all’Ufficiale delle esecuzioni, in qualità di autorità giusta l’art. 609 CC, d’intervenire nella divisione dell’ere­dità di PI 1 in rappresentanza di PI 2, nel suo interesse e in quello dell’escutente, consegnando poi all’Uffi­cio d’esecuzione quanto ottenuto per conto dell’escusso. 2. Non si prelevano spese né si assegnano indennità. 3. Comunicazione: –  all’Ufficiale delle esecuzioni, Lugano; –  all’Ufficio di esecuzione, sede di Mendrisio, e, per il suo tramite, all’escusso, agli altri due membri della comunione ereditaria e all’escutente. Per la Camera di esecuzione e fallimenti del Tribunale d’appello Il presidente                                                            Il 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