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15.2023.119 vom 8. März 2024</w:t>
      </w:r>
    </w:p>
    <w:p>
      <w:r>
        <w:t>TI Tribunale d'appello, 2024-03-08, IT</w:t>
      </w:r>
    </w:p>
    <w:p>
      <w:r>
        <w:rPr>
          <w:b/>
        </w:rPr>
        <w:t xml:space="preserve">Quelle: </w:t>
      </w:r>
      <w:r>
        <w:t>https://mcp.opencaselaw.ch/entscheid/ti_gerichte_15.2023.119</w:t>
      </w:r>
    </w:p>
    <w:p>
      <w:r>
        <w:t>FR: TI_GERICHTE 15.2023.119 du 8 mars 2024</w:t>
      </w:r>
    </w:p>
    <w:p>
      <w:r>
        <w:t>IT: TI_GERICHTE 15.2023.119 del 8 marzo 2024</w:t>
      </w:r>
    </w:p>
    <w:p>
      <w:pPr>
        <w:pStyle w:val="Heading2"/>
      </w:pPr>
      <w:r>
        <w:t>Regeste</w:t>
      </w:r>
    </w:p>
    <w:p>
      <w:r>
        <w:t>Ricorso contro la notifica irregolare di due precetti esecutivi. Assenza d’interesse degno di protezione a una nuova notifica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 ricorrenti si dolgono, pare a ragione, dell’irregolarità della notifica edittale, ma non hanno contestato di aver avuto conoscenza dei precetti esecutivi in occasione dell’assunzione di parte dei documenti dell’UE prodotti con i reclami e in ogni caso dei loro elementi essenziali figuranti sulla pubblicazione del 9 novembre 2023 (doc. C accluso ai reclami), né di aver interposto opposizione “cautelativa” , come comunicato dall’UE nelle sue osservazioni preliminari del 21 novembre 2023 e ribadito nell’ordinanza di non concessio­-ne dell’effetto sospensivo. Una loro nuova notifica si rivelerebbe così inutile (cfr. sentenza della CEF 15.2023.17 del 3 luglio 2023 consid. 5). Va infatti ricordato che l’atto esecutivo di cui il destinatario o il suo rappresentante ha avuto conoscenza è efficace a prescindere da eventuali violazioni formali delle regole sulla notificazio­ne ( DTF 132 I 253 consid. 6; 128 III 466 consid. 1, 128 III 101 consid. 2; 120 III 116 consid. 3/b; sentenza del Tribunale federale 5A_374/2022 del 29 giugno 2022 consid. 4.1; Angst/Rodriguez in: Basler Kommentar, SchKG I, 3 a ed. 2021, n. 23 ad art. 54 LEF; Jeanneret / Lembo in: Commentaire romand, Poursuite et faillite, 2005, n. 34 ad art. 64 LEF ; Gilliéron , Commentaire de la LP, vol. I, 1999, n. 26-28 ad art. 64-66 LEF ). La regolarità della notifica degli atti esecutivi non è infatti un’esigenza fine a sé stessa, giacché il suo scopo è unicamente quello di garantire la comunicazione effettiva dell’atto al destinatario (sentenza della CEF 15.2023.38 del 9 giugno 2023 consid. 3.1). I ricorsi sono quindi irricevibili in quan­to senza interesse degno di protezione.</w:t>
      </w:r>
    </w:p>
    <w:p>
      <w:r>
        <w:rPr>
          <w:b/>
        </w:rPr>
        <w:t>E. 3</w:t>
      </w:r>
    </w:p>
    <w:p>
      <w:r>
        <w:t>Non si prelevano spese né si assegnano indennità.</w:t>
      </w:r>
    </w:p>
    <w:p>
      <w:r>
        <w:rPr>
          <w:b/>
        </w:rPr>
        <w:t>E. 4</w:t>
      </w:r>
    </w:p>
    <w:p>
      <w:r>
        <w:t>Notificazione a: –    ; – . Comunicazione all’Ufficio d’esecuzione, Lugano. Per la Camera di esecuzione e fallimenti del Tribunale d’appello Il presidente                                                            Il 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