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15.2022.78 vom 29. September 2021</w:t>
      </w:r>
    </w:p>
    <w:p>
      <w:r>
        <w:t>TI Tribunale d'appello, 2021-09-29, IT</w:t>
      </w:r>
    </w:p>
    <w:p>
      <w:r>
        <w:rPr>
          <w:b/>
        </w:rPr>
        <w:t xml:space="preserve">Quelle: </w:t>
      </w:r>
      <w:r>
        <w:t>https://mcp.opencaselaw.ch/entscheid/ti_gerichte_15.2022.78_d20210929</w:t>
      </w:r>
    </w:p>
    <w:p>
      <w:r>
        <w:t>FR: TI_GERICHTE 15.2022.78 du 29 septembre 2021</w:t>
      </w:r>
    </w:p>
    <w:p>
      <w:r>
        <w:t>IT: TI_GERICHTE 15.2022.78 del 29 settembre 2021</w:t>
      </w:r>
    </w:p>
    <w:p>
      <w:pPr>
        <w:pStyle w:val="Heading2"/>
      </w:pPr>
      <w:r>
        <w:t>Regeste</w:t>
      </w:r>
    </w:p>
    <w:p>
      <w:r>
        <w:t>Avviso di pignoramento. Perenzione dell’esecuzione la cui continuazione non è stata chiesta per tempo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   ; –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