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15.2022.138 vom 2. Januar 2023</w:t>
      </w:r>
    </w:p>
    <w:p>
      <w:r>
        <w:t>TI Tribunale d'appello, 2023-01-02, IT</w:t>
      </w:r>
    </w:p>
    <w:p>
      <w:r>
        <w:rPr>
          <w:b/>
        </w:rPr>
        <w:t xml:space="preserve">Quelle: </w:t>
      </w:r>
      <w:r>
        <w:t>https://mcp.opencaselaw.ch/entscheid/ti_gerichte_15.2022.138</w:t>
      </w:r>
    </w:p>
    <w:p>
      <w:r>
        <w:t>FR: TI_GERICHTE 15.2022.138 du 2 janvier 2023</w:t>
      </w:r>
    </w:p>
    <w:p>
      <w:r>
        <w:t>IT: TI_GERICHTE 15.2022.138 del 2 gennaio 2023</w:t>
      </w:r>
    </w:p>
    <w:p>
      <w:pPr>
        <w:pStyle w:val="Heading2"/>
      </w:pPr>
      <w:r>
        <w:t>Regeste</w:t>
      </w:r>
    </w:p>
    <w:p>
      <w:r>
        <w:t>Pignoramento dei redditi conseguiti dall’escusso all’estero Tempestività del ricorso contro il pignoramento. Nullità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aprile 2020 e 17 novembre 2020, in relazione ai quali sono state dovute essere inoltrate denunce penali in ragione del mancato pa-gamento delle quote di reddito pignorate. L’UE evidenzia altresì che il legale di RI 1 aveva chiesto informazioni sullo stato della procedura con lettera del 28 luglio 2022. 1.2 Dagli accertamenti svolti dalla Camera si evince che il verbale di pignoramento del 17 novembre 2021 è stato inviato per posta sem­plice. Per contro la notificazione di pignoramento del 7 ottobre 2021, con cui l’UE ha ingiunto ad RI 1 di versargli fr. 6'300.– mensili, è stata spedita per lettera raccomandata, ch’egli non ha ritirato, sicché è ritornata all’UE il 16 ottobre 2021. La notifica è non­dimeno reputata avvenuta alla scadenza del termine di giacenza postale di sette giorni stabilita all’art. 138 cpv. 3 lett. a CPC (per il rinvio dell’art. 31 LEF in relazione con l’art. 34 LEF; sentenza del Tribunale federale 5A_969/2018 del 6 maggio 2019 consid. 2.2.2; DTF 120 III 4; N ordmann/Oneyser in: Basler Kommentar, SchKG I, 3 a ed. 2021, n. 8a ad art. 34 LEF), ossia il 15 ottobre 2021, sicché il ricorso del 24 ottobre 2022 è ampiamente tardivo. RI 1 doveva infatti aspettarsi tale notifica (che non riguarda il precetto esecutivo o la comminatoria di fallimento, cui non si applica l’art. 138 cpv. 3 lett. a CPC: sentenza della CEF 15.2021.90 del 18 gennaio 2022 consid. 3.1.1), dal momento che ha avuto co­noscenza perlomeno dei precetti esecutivi n. __________, __________, __________ e __________, ai quali ha interposto opposizione. D’altronde, nello scritto 28 luglio 2022 citato dall’UE, l’avvocato di RI 1 ha effettivamente chiesto informazioni sulle esecuzioni n. __________ e __________ promosse da __________, le quali fanno parte del gruppo n. 5 per il quale è stato eseguito il pignoramento impugnato. L’UE ritiene quindi a ragione che il ricorrente era informato delle procedure pendenti nei suoi confronti. Egli non ha del resto contestato le osservazioni dell’organo esecutivo. 1.3 Che il ricorrente, a suo dire, non abbia mai svolto in Svizzera un’ attività indipendente non osta al pignoramento dei redditi da lui conseguiti all’estero, i crediti contro i suoi clienti essendo infatti reputati localizzati al suo domicilio in Svizzera ( DTF 140 III 514 consid. 3.2; 137 III 627 consid. 3.1; 128 III 473 consid. 3.1, sentenze della CEF 15.2021.13 del 15 aprile 2021 consid. 2 e 15.2020.63 del 19 ottobre 2020 consid. 3). Il pignoramento impugnato non può quindi considerarsi nullo. Del resto, siccome RI 1 non si è mai degnato di presentarsi per l’esecuzione dei pignoramenti a suo carico, l’UE ha dovuto procedere d’ufficio a stimare i suoi redditi, fondandosi sulle tassazioni fiscali emesse d’ufficio nei suoi confronti, secondo cui nel 2018 e nel 2019 il suo reddito annuo da attività lucrativa era di fr. 90'000.– lordi (e le spese professionali di fr. 2'500.–), oltre a redditi dalla sostanza immobiliare e mobiliare (titoli e capitali) di fr. 69'000.– annui, di cui l’UE non ha tenuto conto. Egli non risulta aver contestato né le tassazioni fiscali né i pignoramenti precedenti (a favore dei gruppi da n. 2 a 4), e neppure i 27 attestati di carenza di beni emessi tra il 2019 e il 2021 per oltre fr. 500'000.–. La sua censura risulta dunque manifestamente abusiva e come tale va respinta. 2. Stante l’esito del giudizio odierno, la domanda di effetto sospensivo risulta senza oggetto. In siffatte circostanze non è necessario notificare alle controparti né il ricorso né la sentenza (art. 9 cpv. 2 LPR). 3. Per legge non si preleva la tassa di giustizia e non si assegnano indennità (art. 20 a cpv. 2 n. 5 LEF, 61 cpv. 2 lett. a e 62 cpv. 2 OTLEF [ RS 281.35 ] ). Per questi motivi, pronuncia:              1. Il ricorso è irricevibile. 2. Non si prelevano spese né si assegnano indennità. 3. Notificazione all’    . Comunicazione all’Ufficio d’esecuzione, Lugano. Per la Camera di esecuzione e fallimenti del Tribunale d’appello Il presidente                                                            La vicecancelliera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