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15.2022.134 vom 22. Februar 2023</w:t>
      </w:r>
    </w:p>
    <w:p>
      <w:r>
        <w:t>TI Tribunale d'appello, 2023-02-22, IT</w:t>
      </w:r>
    </w:p>
    <w:p>
      <w:r>
        <w:rPr>
          <w:b/>
        </w:rPr>
        <w:t xml:space="preserve">Quelle: </w:t>
      </w:r>
      <w:r>
        <w:t>https://mcp.opencaselaw.ch/entscheid/ti_gerichte_15.2022.134</w:t>
      </w:r>
    </w:p>
    <w:p>
      <w:r>
        <w:t>FR: TI_GERICHTE 15.2022.134 du 22 février 2023</w:t>
      </w:r>
    </w:p>
    <w:p>
      <w:r>
        <w:t>IT: TI_GERICHTE 15.2022.134 del 22 febbraio 2023</w:t>
      </w:r>
    </w:p>
    <w:p>
      <w:pPr>
        <w:pStyle w:val="Heading2"/>
      </w:pPr>
      <w:r>
        <w:t>Regeste</w:t>
      </w:r>
    </w:p>
    <w:p>
      <w:r>
        <w:t>Sospensione procedura di fallimento. Comunicazione agl’interessati e pubblicazione. Ricevibilità del ricorso all’autorità di vigilanza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 ; – ; – ; –      . Comunicazione all’Ufficio dei fallimenti, Viganello.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