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15.2022.120 vom 28. November 2022</w:t>
      </w:r>
    </w:p>
    <w:p>
      <w:r>
        <w:t>TI Tribunale d'appello, 2022-11-28, IT</w:t>
      </w:r>
    </w:p>
    <w:p>
      <w:r>
        <w:rPr>
          <w:b/>
        </w:rPr>
        <w:t xml:space="preserve">Quelle: </w:t>
      </w:r>
      <w:r>
        <w:t>https://mcp.opencaselaw.ch/entscheid/ti_gerichte_15.2022.120</w:t>
      </w:r>
    </w:p>
    <w:p>
      <w:r>
        <w:t>FR: TI_GERICHTE 15.2022.120 du 28 novembre 2022</w:t>
      </w:r>
    </w:p>
    <w:p>
      <w:r>
        <w:t>IT: TI_GERICHTE 15.2022.120 del 28 novembre 2022</w:t>
      </w:r>
    </w:p>
    <w:p>
      <w:pPr>
        <w:pStyle w:val="Heading2"/>
      </w:pPr>
      <w:r>
        <w:t>Regeste</w:t>
      </w:r>
    </w:p>
    <w:p>
      <w:r>
        <w:t>Ricorso contro l’avviso di pignoramento. Contestazione della notifica del precetto esecutivo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