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15.2021.80 vom 2. April 2021</w:t>
      </w:r>
    </w:p>
    <w:p>
      <w:r>
        <w:t>TI Tribunale d'appello, 2021-04-02, IT</w:t>
      </w:r>
    </w:p>
    <w:p>
      <w:r>
        <w:rPr>
          <w:b/>
        </w:rPr>
        <w:t xml:space="preserve">Quelle: </w:t>
      </w:r>
      <w:r>
        <w:t>https://mcp.opencaselaw.ch/entscheid/ti_gerichte_15.2021.80_d20210402</w:t>
      </w:r>
    </w:p>
    <w:p>
      <w:r>
        <w:t>FR: TI_GERICHTE 15.2021.80 du 2 avril 2021</w:t>
      </w:r>
    </w:p>
    <w:p>
      <w:r>
        <w:t>IT: TI_GERICHTE 15.2021.80 del 2 aprile 2021</w:t>
      </w:r>
    </w:p>
    <w:p>
      <w:pPr>
        <w:pStyle w:val="Heading2"/>
      </w:pPr>
      <w:r>
        <w:t>Regeste</w:t>
      </w:r>
    </w:p>
    <w:p>
      <w:r>
        <w:t>Avviso di pignoramento. Ricorso in materia civile al Tribunale federale contro la decisione di rigetto dell’opposizione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decreto dell’8 luglio 2021, confermando l’inapplicabilità dell’art. 103 cpv. 2 lett. a LTF; che stante l’art. 103 cpv. 1 LTF l’esistenza di un ricorso in materia civile al Tribunale federale cui non è stato conferito l’effetto sospensivo non osta alla fissazione del pignoramento (sentenza del­la CEF 15.2020.127 del 23 febbraio 2021, consid. 2.1); che il ricorso va pertanto respinto senza necessità di notificarlo prima alla controparte per osservazioni (art. 9 cpv. 2 LPR); che per legge non si preleva la tassa di giustizia e non si assegnano indennità (art. 20 a cpv. 2 n. 5 LEF, 61 cpv. 2 lett. a e 62 cpv. 2 OTLEF [ RS 281.35 ] ). Per questi motivi, pronuncia:              1. Il ricorso è respinto.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  ; –    . Comunicazione all’Ufficio d’esecuzione, Bellinzona.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