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15.2021.44 vom 15. Juni 2021</w:t>
      </w:r>
    </w:p>
    <w:p>
      <w:r>
        <w:t>TI Tribunale d'appello, 2021-06-15, IT</w:t>
      </w:r>
    </w:p>
    <w:p>
      <w:r>
        <w:rPr>
          <w:b/>
        </w:rPr>
        <w:t xml:space="preserve">Quelle: </w:t>
      </w:r>
      <w:r>
        <w:t>https://mcp.opencaselaw.ch/entscheid/ti_gerichte_15.2021.44_d20210615</w:t>
      </w:r>
    </w:p>
    <w:p>
      <w:r>
        <w:t>FR: TI_GERICHTE 15.2021.44 du 15 juin 2021</w:t>
      </w:r>
    </w:p>
    <w:p>
      <w:r>
        <w:t>IT: TI_GERICHTE 15.2021.44 del 15 giugno 2021</w:t>
      </w:r>
    </w:p>
    <w:p>
      <w:pPr>
        <w:pStyle w:val="Heading2"/>
      </w:pPr>
      <w:r>
        <w:t>Regeste</w:t>
      </w:r>
    </w:p>
    <w:p>
      <w:r>
        <w:t>Ricorso contro le condizioni d’incanto. Censure inammissibili, in quanto già trattate in una precedente sentenza passata in giudicato. Richiesta di nuova stima tardiva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RI 1 si duole altresì dell’offerta di vendita a trattative private che aveva formulato il figlio primogenito di PI 2 e PI 1 (consid. E), sostenendo in sostanza che questi ultimi avevano intenzione di acquistare gli immobili a un prezzo ridicolo. La censura è senza oggetto (art. 24 b cpv. 1 LPR), questa Camera avendo annullato la decisione del­l’UE volta alla vendita a trattative private dei fondi con sentenza dell’8 febbraio 2021 (inc. 15.2020.125) e ordinato all’Ufficio d’in­dire un’asta pubblica, ciò ch’esso ha del resto fatto.</w:t>
      </w:r>
    </w:p>
    <w:p>
      <w:r>
        <w:rPr>
          <w:b/>
        </w:rPr>
        <w:t>E. 5</w:t>
      </w:r>
    </w:p>
    <w:p>
      <w:r>
        <w:t>Il ricorrente rimprovera inoltre all’organo esecutivo di aver limitato le visite ai noti fondi a soli due giorni per un’ora al giorno e di non averle fissate a date più vicine a quella prevista per l’asta. Trova scorretto tale modo di agire, giacché non ha potuto promuovere e far visitare le sue proprietà con un certo agio. Chiede pertanto di stabilire non meno di venti distinte visite di almeno quattro ore ciascuna, facendo divieto ai creditori o ai loro rappresentanti di parteciparvi. Anche in tal caso la contestazione s’avvera inammissibile. Non solo essa esula dall’oggetto del ricorso, diretto invero contro le condizioni d’incanto, ma è pure ampiamente tardiva, l’in­­sorgente non avendo impugnato entro il termine previsto dall’art. 17 cpv. 2 LEF l’avviso d’incanto ricevuto il 24 febbraio 2021 (v. tracciamento della raccomandata agli atti), ove è indicato che l’Uf­-ficio avrebbe organizzato due visite degli immobili il 4 marzo e il 13 aprile 2021 dalle ore 14:00 alle ore 15:00.</w:t>
      </w:r>
    </w:p>
    <w:p>
      <w:r>
        <w:rPr>
          <w:b/>
        </w:rPr>
        <w:t>E. 6</w:t>
      </w:r>
    </w:p>
    <w:p>
      <w:r>
        <w:t>Stante l’esito del giudizio odierno, la domanda di conferimento del­l’effetto sospensivo al ricorso diventa senza oggetto e neppure è necessario notificare alle altre parti interessate l’atto ricorsuale e la decisione (cfr. art. 9 cpv. 2 LPR). Va inoltre respinta la domanda di ammissione al gratuito patrocinio, il ricorso, nella misura in cui non risulta privo d’oggetto, essendo manifestamente irricevibile e quindi sprovvisto d’acchito di probabilità di successo ( art. 117 lett. b CPC per il rinvio degli art. 20 a cpv. 3 LEF e 13 della Legge sull’assistenza giudiziaria e sul patrocinio d’ufficio [LAG, RL 178.300]).</w:t>
      </w:r>
    </w:p>
    <w:p>
      <w:r>
        <w:rPr>
          <w:b/>
        </w:rPr>
        <w:t>E. 7</w:t>
      </w:r>
    </w:p>
    <w:p>
      <w:r>
        <w:t>Per legge non si preleva la tassa di giustizia e non si assegnano indennità (art. 20 a cpv. 2 n. 5 LEF, 61 cpv. 2 lett. a e 62 cpv. 2 OTLEF [ RS 281.35 ] ). Per questi motivi, pronuncia:              1. Nella misura in cui non è senza oggetto, il ricorso è irricevibile. 2. La richiesta di nuova perizia è inammissibile. 3. La domanda di gratuito patrocinio è respinta. 4. Non si prelevano spese né si assegnano indennità. 5. Notificazione a Massimo   . Comunicazione all’Ufficio d’esecuzione, Mendrisio.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