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15.2021.42 vom 7. Mai 2021</w:t>
      </w:r>
    </w:p>
    <w:p>
      <w:r>
        <w:t>TI Tribunale d'appello, 2021-05-07, IT</w:t>
      </w:r>
    </w:p>
    <w:p>
      <w:r>
        <w:rPr>
          <w:b/>
        </w:rPr>
        <w:t xml:space="preserve">Quelle: </w:t>
      </w:r>
      <w:r>
        <w:t>https://mcp.opencaselaw.ch/entscheid/ti_gerichte_15.2021.42</w:t>
      </w:r>
    </w:p>
    <w:p>
      <w:r>
        <w:t>FR: TI_GERICHTE 15.2021.42 du 7 mai 2021</w:t>
      </w:r>
    </w:p>
    <w:p>
      <w:r>
        <w:t>IT: TI_GERICHTE 15.2021.42 del 7 maggio 2021</w:t>
      </w:r>
    </w:p>
    <w:p>
      <w:pPr>
        <w:pStyle w:val="Heading2"/>
      </w:pPr>
      <w:r>
        <w:t>Volltext</w:t>
      </w:r>
    </w:p>
    <w:p>
      <w:r>
        <w:t>Incarto n.15.2021.42</w:t>
      </w:r>
    </w:p>
    <w:p>
      <w:r>
        <w:t>Lugano</w:t>
      </w:r>
    </w:p>
    <w:p>
      <w:r>
        <w:t>7 maggio 2021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Cortese</w:t>
      </w:r>
    </w:p>
    <w:p>
      <w:r>
        <w:t>statuendo nella composizione a giudice unico (art. 48bLOG) sullistanza di nuova stima presentata il 23 aprile 2021 dalla</w:t>
      </w:r>
    </w:p>
    <w:p>
      <w:r>
        <w:t>RI 1</w:t>
      </w:r>
    </w:p>
    <w:p>
      <w:r>
        <w:t>nellesecuzione n. __________ dellUfficio desecuzione di Mendrisiopromossa dalla ricorrente nei confronti di</w:t>
      </w:r>
    </w:p>
    <w:p>
      <w:r>
        <w:t>PI 1,</w:t>
      </w:r>
    </w:p>
    <w:p>
      <w:r>
        <w:t>(rappresentato dall__________ PR 1, )</w:t>
      </w:r>
    </w:p>
    <w:p>
      <w:r>
        <w:t>3.Spetta allautorità cantonale di vigilanza scegliere il perito (sentenza del Tribunale federale 5A_789/2012 del 24 gennaio 2013, consid. 2.1), come pure fissare lammontare dellanticipo, a carico del richiedente (sopra, consid. 1), e il termine entro il quale esso va versato (DTF 60 III 189; sentenza del Tribunale federale 5A_472/2012 del 17 ottobre 2012 consid. 3.2.3; sentenza della CEF 15.2017.89 del 22 novembre 2017 consid. 3). In caso di contestazione della nuova perizia, decide in modo definitivo lautorità di vigilanza cantonale (art. 9 cpv. 2 RFF, ultimo periodo).</w:t>
      </w:r>
    </w:p>
    <w:p>
      <w:r>
        <w:t>4.Alla luce di quanto precede, listanza va accolta e allistante de­vessere assegnato un termine per anticipare le spese presumibili della nuova perizia estimativa, fermo restando che in difetto di tempestivo versamento, il valore stabilito dallUE in base allat­tuale stima diventerà definitivo.</w:t>
      </w:r>
    </w:p>
    <w:p>
      <w:r>
        <w:t>5.Per leggenon si preleva la tassa di giustizia e non si assegnano indennità (art. 20acpv. 2 n. 5 LEF, 61 cpv. 2 lett. a e 62 cpv. 2 OTLEF[RS 281.35]).</w:t>
      </w:r>
    </w:p>
    <w:p>
      <w:r>
        <w:t>1.1Di conseguenza lRI 1, è invi­tata a versareentro 10 giornisul conto del Tribunale dappello CCP 69-10370-9 a mezzo della polizza allegata fr. 5'000.quale anticipo dei costi della nuova periziadelle unità di proprietà per pianin. __________, __________ (limitatamente alle quote di comproprietà N e U) e ____________________ RFD di __________,che la Camera affiderà al valutatore immobiliare __________, __________.</w:t>
      </w:r>
    </w:p>
    <w:p>
      <w:r>
        <w:t>1.2In difetto di tempestivo versamento dellanticipo, il valorepresumibile di realizzazionedei fondi, stabilito dallUfficio desecuzione in fr.2'660'000.,diventerà definitivo.</w:t>
      </w:r>
    </w:p>
    <w:p>
      <w:r>
        <w:t>,  ;</w:t>
      </w:r>
    </w:p>
    <w:p>
      <w:r>
        <w:t>, , ,</w:t>
      </w:r>
    </w:p>
    <w:p>
      <w:r>
        <w:t>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