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15.2021.27 vom 9. Juni 2021</w:t>
      </w:r>
    </w:p>
    <w:p>
      <w:r>
        <w:t>TI Tribunale d'appello, 2021-06-09, IT</w:t>
      </w:r>
    </w:p>
    <w:p>
      <w:r>
        <w:rPr>
          <w:b/>
        </w:rPr>
        <w:t xml:space="preserve">Quelle: </w:t>
      </w:r>
      <w:r>
        <w:t>https://mcp.opencaselaw.ch/entscheid/ti_gerichte_15.2021.27</w:t>
      </w:r>
    </w:p>
    <w:p>
      <w:r>
        <w:t>FR: TI_GERICHTE 15.2021.27 du 9 juin 2021</w:t>
      </w:r>
    </w:p>
    <w:p>
      <w:r>
        <w:t>IT: TI_GERICHTE 15.2021.27 del 9 giugno 2021</w:t>
      </w:r>
    </w:p>
    <w:p>
      <w:pPr>
        <w:pStyle w:val="Heading2"/>
      </w:pPr>
      <w:r>
        <w:t>Regeste</w:t>
      </w:r>
    </w:p>
    <w:p>
      <w:r>
        <w:t>Avvisi di pignoramento. Reclami contro le decisioni di rigetto dell’opposizione. Esecutività in mancanza della concessione dell’effetto sospensivo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 ; –   ; – 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