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15.2021.21 vom 4. März 2021</w:t>
      </w:r>
    </w:p>
    <w:p>
      <w:r>
        <w:t>TI Tribunale d'appello, 2021-03-04, IT</w:t>
      </w:r>
    </w:p>
    <w:p>
      <w:r>
        <w:rPr>
          <w:b/>
        </w:rPr>
        <w:t xml:space="preserve">Quelle: </w:t>
      </w:r>
      <w:r>
        <w:t>https://mcp.opencaselaw.ch/entscheid/ti_gerichte_15.2021.21</w:t>
      </w:r>
    </w:p>
    <w:p>
      <w:r>
        <w:t>FR: TI_GERICHTE 15.2021.21 du 4 mars 2021</w:t>
      </w:r>
    </w:p>
    <w:p>
      <w:r>
        <w:t>IT: TI_GERICHTE 15.2021.21 del 4 marzo 2021</w:t>
      </w:r>
    </w:p>
    <w:p>
      <w:pPr>
        <w:pStyle w:val="Heading2"/>
      </w:pPr>
      <w:r>
        <w:t>Regeste</w:t>
      </w:r>
    </w:p>
    <w:p>
      <w:r>
        <w:t>Ricorso contro due precetti esecutivi. Tardività. Irricevibilità delle censure contro il titolo di credito indicato dall’escutente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   ; –   ; –  . Comunicazione all’Ufficio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