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15.2020.91 vom 26. Januar 2021</w:t>
      </w:r>
    </w:p>
    <w:p>
      <w:r>
        <w:t>TI Tribunale d'appello, 2021-01-26, IT</w:t>
      </w:r>
    </w:p>
    <w:p>
      <w:r>
        <w:rPr>
          <w:b/>
        </w:rPr>
        <w:t xml:space="preserve">Quelle: </w:t>
      </w:r>
      <w:r>
        <w:t>https://mcp.opencaselaw.ch/entscheid/ti_gerichte_15.2020.91</w:t>
      </w:r>
    </w:p>
    <w:p>
      <w:r>
        <w:t>FR: TI_GERICHTE 15.2020.91 du 26 janvier 2021</w:t>
      </w:r>
    </w:p>
    <w:p>
      <w:r>
        <w:t>IT: TI_GERICHTE 15.2020.91 del 26 gennaio 2021</w:t>
      </w:r>
    </w:p>
    <w:p>
      <w:pPr>
        <w:pStyle w:val="Heading2"/>
      </w:pPr>
      <w:r>
        <w:t>Regeste</w:t>
      </w:r>
    </w:p>
    <w:p>
      <w:r>
        <w:t>Notifica del precetto esecutivo a un’impiegata di una società incaricata per contratto di rappresentare la società escussa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condividano locali; che la questione può ad ogni modo rimanere indecisa, poiché anche se la notifica ad PI 2 e l’opposizione interposta da quest’ultima dovessero ritenersi inefficaci, questi atti sono stati ratificati dall’escussa con le osservazioni al ricorso, con effetto retroattivo (sentenza della CEF 15.2017.15 del 4 marzo 2017, RtiD 2017 II 868 n. 39c consid. 5); che del resto anche a voler seguire la tesi principale della ricorrente, il precetto esecutivo non andrebbe notificato in via edittale come da lei richiesto, ma andrebbe reputato notificato, per la pri­ma volta in modo valido, a RA 2 in occasione della notifica del ricorso, sicché le sue osservazioni dovrebbero essere parificate a una valida e tempestiva opposizione; che il ricorso va di conseguenza respinto; che per legge non si preleva la tassa di giustizia e non si assegnano indennità (art. 20 a cpv. 2 n. 5 LEF, 61 cpv. 2 lett. a e 62 cpv. 2 OTLEF [ RS 281.35 ] ). Per questi motivi, pronuncia:              1. Il ricorso è respinto.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 avv. ; –  . Comunicazione all’Ufficio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