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15.2020.8 vom 27. Februar 2020</w:t>
      </w:r>
    </w:p>
    <w:p>
      <w:r>
        <w:t>TI Tribunale d'appello, 2020-02-27, IT</w:t>
      </w:r>
    </w:p>
    <w:p>
      <w:r>
        <w:rPr>
          <w:b/>
        </w:rPr>
        <w:t xml:space="preserve">Quelle: </w:t>
      </w:r>
      <w:r>
        <w:t>https://mcp.opencaselaw.ch/entscheid/ti_gerichte_15.2020.8</w:t>
      </w:r>
    </w:p>
    <w:p>
      <w:r>
        <w:t>FR: TI_GERICHTE 15.2020.8 du 27 février 2020</w:t>
      </w:r>
    </w:p>
    <w:p>
      <w:r>
        <w:t>IT: TI_GERICHTE 15.2020.8 del 27 febbraio 2020</w:t>
      </w:r>
    </w:p>
    <w:p>
      <w:pPr>
        <w:pStyle w:val="Heading2"/>
      </w:pPr>
      <w:r>
        <w:t>Regeste</w:t>
      </w:r>
    </w:p>
    <w:p>
      <w:r>
        <w:t>Inventario degli oggetti vincolati da un diritto di ritenzione. Decadenza in caso di mancata convalida dell’inventario. Deposito degli oggetti in virtù di un decreto di sfratto. Responsabilità dell’ufficio d’esecuzione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 né si assegnano indennità.</w:t>
      </w:r>
    </w:p>
    <w:p>
      <w:r>
        <w:rPr>
          <w:b/>
        </w:rPr>
        <w:t>E. 3</w:t>
      </w:r>
    </w:p>
    <w:p>
      <w:r>
        <w:t>Notificazione a: –      ; – . Comunicazione all’Ufficio di 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