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15.2020.25 vom 8. Mai 2020</w:t>
      </w:r>
    </w:p>
    <w:p>
      <w:r>
        <w:t>TI Tribunale d'appello, 2020-05-08, IT</w:t>
      </w:r>
    </w:p>
    <w:p>
      <w:r>
        <w:rPr>
          <w:b/>
        </w:rPr>
        <w:t xml:space="preserve">Quelle: </w:t>
      </w:r>
      <w:r>
        <w:t>https://mcp.opencaselaw.ch/entscheid/ti_gerichte_15.2020.25</w:t>
      </w:r>
    </w:p>
    <w:p>
      <w:r>
        <w:t>FR: TI_GERICHTE 15.2020.25 du 8 mai 2020</w:t>
      </w:r>
    </w:p>
    <w:p>
      <w:r>
        <w:t>IT: TI_GERICHTE 15.2020.25 del 8 maggio 2020</w:t>
      </w:r>
    </w:p>
    <w:p>
      <w:pPr>
        <w:pStyle w:val="Heading2"/>
      </w:pPr>
      <w:r>
        <w:t>Regeste</w:t>
      </w:r>
    </w:p>
    <w:p>
      <w:r>
        <w:t>Ricorso contro il pignoramento di salario. Dubbia tempestività. Carente indicazione delle domande e della motivazione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 __________   . Comunicazione all’Ufficio d’esecuzione,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