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15.2020.24 vom 6. Mai 2020</w:t>
      </w:r>
    </w:p>
    <w:p>
      <w:r>
        <w:t>TI Tribunale d'appello, 2020-05-06, IT</w:t>
      </w:r>
    </w:p>
    <w:p>
      <w:r>
        <w:rPr>
          <w:b/>
        </w:rPr>
        <w:t xml:space="preserve">Quelle: </w:t>
      </w:r>
      <w:r>
        <w:t>https://mcp.opencaselaw.ch/entscheid/ti_gerichte_15.2020.24</w:t>
      </w:r>
    </w:p>
    <w:p>
      <w:r>
        <w:t>FR: TI_GERICHTE 15.2020.24 du 6 mai 2020</w:t>
      </w:r>
    </w:p>
    <w:p>
      <w:r>
        <w:t>IT: TI_GERICHTE 15.2020.24 del 6 maggio 2020</w:t>
      </w:r>
    </w:p>
    <w:p>
      <w:pPr>
        <w:pStyle w:val="Heading2"/>
      </w:pPr>
      <w:r>
        <w:t>Volltext</w:t>
      </w:r>
    </w:p>
    <w:p>
      <w:r>
        <w:t>Incarto n.15.2020.24</w:t>
      </w:r>
    </w:p>
    <w:p>
      <w:r>
        <w:t>Lugano</w:t>
      </w:r>
    </w:p>
    <w:p>
      <w:r>
        <w:t>6 maggio 2020</w:t>
      </w:r>
    </w:p>
    <w:p>
      <w:r>
        <w:t>In nomedella Repubblica e CantoneTicino</w:t>
      </w:r>
    </w:p>
    <w:p>
      <w:r>
        <w:t>La Camera di esecuzione e fallimenti</w:t>
      </w:r>
    </w:p>
    <w:p>
      <w:r>
        <w:t>del Tribunale dappello quale autorità di vigilanza</w:t>
      </w:r>
    </w:p>
    <w:p>
      <w:r>
        <w:t>composta del giudice:</w:t>
      </w:r>
    </w:p>
    <w:p>
      <w:r>
        <w:t>Jaques, presidente</w:t>
      </w:r>
    </w:p>
    <w:p>
      <w:r>
        <w:t>vicecancelliere:</w:t>
      </w:r>
    </w:p>
    <w:p>
      <w:r>
        <w:t>Cortese</w:t>
      </w:r>
    </w:p>
    <w:p>
      <w:r>
        <w:t>statuendo nella composizione a giudice unico (art. 48bLOG) sul ricorso 18 febbraio 2020 della</w:t>
      </w:r>
    </w:p>
    <w:p>
      <w:r>
        <w:t>RI 1</w:t>
      </w:r>
    </w:p>
    <w:p>
      <w:r>
        <w:t>(rappresentata dalla RA 1)</w:t>
      </w:r>
    </w:p>
    <w:p>
      <w:r>
        <w:t>contro</w:t>
      </w:r>
    </w:p>
    <w:p>
      <w:r>
        <w:t>loperato dellUfficio di esecuzione di Luganonellesecuzione n. __________ promossa dalla ricorrente nei confronti di</w:t>
      </w:r>
    </w:p>
    <w:p>
      <w:r>
        <w:t>CV 1,</w:t>
      </w:r>
    </w:p>
    <w:p>
      <w:r>
        <w:t>PI 3,</w:t>
      </w:r>
    </w:p>
    <w:p>
      <w:r>
        <w:t>PI 2,</w:t>
      </w:r>
    </w:p>
    <w:p>
      <w:r>
        <w:t>(rappresentato dallPI 4, )</w:t>
      </w:r>
    </w:p>
    <w:p>
      <w:r>
        <w:t>Debitore</w:t>
      </w:r>
    </w:p>
    <w:p>
      <w:r>
        <w:t>fr.</w:t>
      </w:r>
    </w:p>
    <w:p>
      <w:r>
        <w:t>3'000.00</w:t>
      </w:r>
    </w:p>
    <w:p>
      <w:r>
        <w:t>Totale</w:t>
      </w:r>
    </w:p>
    <w:p>
      <w:r>
        <w:t>fr.</w:t>
      </w:r>
    </w:p>
    <w:p>
      <w:r>
        <w:t>3'000.00</w:t>
      </w:r>
    </w:p>
    <w:p>
      <w:r>
        <w:t>Minimo desistenza</w:t>
      </w:r>
    </w:p>
    <w:p>
      <w:r>
        <w:t>Minimo base</w:t>
      </w:r>
    </w:p>
    <w:p>
      <w:r>
        <w:t>fr.</w:t>
      </w:r>
    </w:p>
    <w:p>
      <w:r>
        <w:t>1'360.00</w:t>
      </w:r>
    </w:p>
    <w:p>
      <w:r>
        <w:t>Suppl. figlio minorenne</w:t>
      </w:r>
    </w:p>
    <w:p>
      <w:r>
        <w:t>fr.</w:t>
      </w:r>
    </w:p>
    <w:p>
      <w:r>
        <w:t>320.00</w:t>
      </w:r>
    </w:p>
    <w:p>
      <w:r>
        <w:t>Pasti fuori domicilio</w:t>
      </w:r>
    </w:p>
    <w:p>
      <w:r>
        <w:t>fr.</w:t>
      </w:r>
    </w:p>
    <w:p>
      <w:r>
        <w:t>211.00</w:t>
      </w:r>
    </w:p>
    <w:p>
      <w:r>
        <w:t>Spese di trasferta</w:t>
      </w:r>
    </w:p>
    <w:p>
      <w:r>
        <w:t>fr.</w:t>
      </w:r>
    </w:p>
    <w:p>
      <w:r>
        <w:t>160.00</w:t>
      </w:r>
    </w:p>
    <w:p>
      <w:r>
        <w:t>Spese mediche e dentali</w:t>
      </w:r>
    </w:p>
    <w:p>
      <w:r>
        <w:t>fr.</w:t>
      </w:r>
    </w:p>
    <w:p>
      <w:r>
        <w:t>200.00</w:t>
      </w:r>
    </w:p>
    <w:p>
      <w:r>
        <w:t>Altri</w:t>
      </w:r>
    </w:p>
    <w:p>
      <w:r>
        <w:t>fr.</w:t>
      </w:r>
    </w:p>
    <w:p>
      <w:r>
        <w:t>80.00</w:t>
      </w:r>
    </w:p>
    <w:p>
      <w:r>
        <w:t>Gas</w:t>
      </w:r>
    </w:p>
    <w:p>
      <w:r>
        <w:t>Altri</w:t>
      </w:r>
    </w:p>
    <w:p>
      <w:r>
        <w:t>fr.</w:t>
      </w:r>
    </w:p>
    <w:p>
      <w:r>
        <w:t>100.00</w:t>
      </w:r>
    </w:p>
    <w:p>
      <w:r>
        <w:t>Lavori faticosi</w:t>
      </w:r>
    </w:p>
    <w:p>
      <w:r>
        <w:t>Totale</w:t>
      </w:r>
    </w:p>
    <w:p>
      <w:r>
        <w:t>fr.</w:t>
      </w:r>
    </w:p>
    <w:p>
      <w:r>
        <w:t>2'431.00</w:t>
      </w:r>
    </w:p>
    <w:p>
      <w:r>
        <w:t>Appurata la pignorabilità del reddito, lUE ha proceduto al pignoramento dellimporto fisso di fr. 569. al mese. Il 13 febbraio 2020 ha quindi emesso il relativo verbale, ove è però indicata una quota pignorata di fr. 500. a partire dal 7 gennaio 2020.</w:t>
      </w:r>
    </w:p>
    <w:p>
      <w:r>
        <w:t>2.2Lufficio di esecuzione deve determinare il reddito netto sulla base della contabilità o di altre registrazioni. Se lescusso non tiene una contabilità, occorre stimare il reddito tramite comparazione con attività analoghe a quella del debitore (DTF112 III 21 consid. 2/b; sentenza del Tribunale federale 5A_654/2007 del 4 marzo 2008, consid. 4; sentenze della CEF 15.2017.16 citata consid. 3.2, 15.2002.8 del 14 marzo 2002 consid. 6/a, 15.1999.113/114 del 26 giugno 2000, consid. 5/a) e, se ciò non fosse possibile, mediante valutazione per stima (sentenza del Tribunale federale 5A_16/ 2011 del 2 maggio 2011, consid.2.1;DTF 126 III 91 consid. 3/a;sentenza della CEF 15.2016.71 del 9 dicembre 2016, consid. 3).</w:t>
      </w:r>
    </w:p>
    <w:p>
      <w:r>
        <w:t>Per la Camera di esecuzione e fallimenti del Tribunale dappello</w:t>
      </w:r>
    </w:p>
    <w:p>
      <w:r>
        <w:t>Il presidente                                                            Il vicecancelliere</w:t>
      </w:r>
    </w:p>
    <w:p>
      <w:r>
        <w:t>Rimedi giuridici</w:t>
      </w:r>
    </w:p>
    <w:p>
      <w:r>
        <w:t>Contro la presente decisione è possibile presentare ricorso in materia civile al Tribunale federale, 1000 Losanna 14, entro dieci giorni dalla notificazione, ridotti a cinque ove la decisione impugnata sia stata pronunciata nellambito di unesecuzione cambiaria (art. 74 cpv. 2 lett. c, 100 cpv. 2 lett. a e cpv. 3 lett. a LTF). Il termine non è sospeso durante le ferie giudiziarie nei casi previsti allart.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