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15.2020.125 vom 8. Februar 2021</w:t>
      </w:r>
    </w:p>
    <w:p>
      <w:r>
        <w:t>TI Tribunale d'appello, 2021-02-08, IT</w:t>
      </w:r>
    </w:p>
    <w:p>
      <w:r>
        <w:rPr>
          <w:b/>
        </w:rPr>
        <w:t xml:space="preserve">Quelle: </w:t>
      </w:r>
      <w:r>
        <w:t>https://mcp.opencaselaw.ch/entscheid/ti_gerichte_15.2020.125</w:t>
      </w:r>
    </w:p>
    <w:p>
      <w:r>
        <w:t>FR: TI_GERICHTE 15.2020.125 du 8 février 2021</w:t>
      </w:r>
    </w:p>
    <w:p>
      <w:r>
        <w:t>IT: TI_GERICHTE 15.2020.125 del 8 febbraio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Con l’emanazione della presente decisione le richieste di revoca dell’effetto sospensivo diventano senza oggetto.</w:t>
      </w:r>
    </w:p>
    <w:p>
      <w:r>
        <w:rPr>
          <w:b/>
        </w:rPr>
        <w:t>E. 5</w:t>
      </w:r>
    </w:p>
    <w:p>
      <w:r>
        <w:t>Per legge non si preleva la tassa di giustizia e non si assegnano indennità (art. 20 a cpv. 2 n. 5 LEF, 61 cpv. 2 lett. a e 62 cpv. 2 OTLEF [ RS 281.35 ] ). Visto l’esito del giudizio odierno, la richiesta di sanzioni formulata da PI 2 e PI 3 cade nel vuoto. Per questi motivi, pronuncia:              1. Il ricorso è parzialmente accolto. 1.1   Di conseguenza, la decisione impugnata è annullata e l’Uffi­cio d’esecuzione è invitato a indire un’asta pubblica. 1.2   La richiesta di nuova perizia è inammissibile siccome tardiva. 2. Non si prelevano spese né si assegnano indennità. 3. Notificazione a: –   ; –    ; –    ; –__________ RA 1, __________: – PI 5, __________. Comunicazione all’Ufficio d’esecuzione, Mendrisio.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