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15.2019.88 vom 21. Oktober 2019</w:t>
      </w:r>
    </w:p>
    <w:p>
      <w:r>
        <w:t>TI Tribunale d'appello, 2019-10-21, IT</w:t>
      </w:r>
    </w:p>
    <w:p>
      <w:r>
        <w:rPr>
          <w:b/>
        </w:rPr>
        <w:t xml:space="preserve">Quelle: </w:t>
      </w:r>
      <w:r>
        <w:t>https://mcp.opencaselaw.ch/entscheid/ti_gerichte_15.2019.88</w:t>
      </w:r>
    </w:p>
    <w:p>
      <w:r>
        <w:t>FR: TI_GERICHTE 15.2019.88 du 21 octobre 2019</w:t>
      </w:r>
    </w:p>
    <w:p>
      <w:r>
        <w:t>IT: TI_GERICHTE 15.2019.88 del 21 ottobre 2019</w:t>
      </w:r>
    </w:p>
    <w:p>
      <w:pPr>
        <w:pStyle w:val="Heading2"/>
      </w:pPr>
      <w:r>
        <w:t>Regeste</w:t>
      </w:r>
    </w:p>
    <w:p>
      <w:r>
        <w:t>Deposito giudiziale di una somma accreditata sul conto dell’ufficio d’esecuzione. Inammissibilità della via del ricorso all’autorità di vigilanza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  ; –   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