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15.2019.64 vom 14. Januar 2020</w:t>
      </w:r>
    </w:p>
    <w:p>
      <w:r>
        <w:t>TI Tribunale d'appello, 2020-01-14, IT</w:t>
      </w:r>
    </w:p>
    <w:p>
      <w:r>
        <w:rPr>
          <w:b/>
        </w:rPr>
        <w:t xml:space="preserve">Quelle: </w:t>
      </w:r>
      <w:r>
        <w:t>https://mcp.opencaselaw.ch/entscheid/ti_gerichte_15.2019.64</w:t>
      </w:r>
    </w:p>
    <w:p>
      <w:r>
        <w:t>FR: TI_GERICHTE 15.2019.64 du 14 janvier 2020</w:t>
      </w:r>
    </w:p>
    <w:p>
      <w:r>
        <w:t>IT: TI_GERICHTE 15.2019.64 del 14 gennaio 2020</w:t>
      </w:r>
    </w:p>
    <w:p>
      <w:pPr>
        <w:pStyle w:val="Heading2"/>
      </w:pPr>
      <w:r>
        <w:t>Regeste</w:t>
      </w:r>
    </w:p>
    <w:p>
      <w:r>
        <w:t>Aggiudicazione di certificati azionari. Validità della notifica dei precetti esecutivi e degli avvisi d’incanto. Lingua della procedura esecutiva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maggio 2019 con l’emissione degli avvisi d’incanto, l’UE ha operato correttamente.</w:t>
      </w:r>
    </w:p>
    <w:p>
      <w:r>
        <w:rPr>
          <w:b/>
        </w:rPr>
        <w:t>E. 5</w:t>
      </w:r>
    </w:p>
    <w:p>
      <w:r>
        <w:t>Gli avvisi d’incanto sono stati trasmessi all’escusso per invio postale raccomandato all’indirizzo di U__________, comunicato dall’Ufficio esazione e condoni all’UE il 29 mar­zo 2016. Come visto (sopra ad F) la raccomandata contenente gli avvisi d’incanto è stata retrocessa all’UE il 10 maggio 2019 con l’indicazione “traslocato. Termine di rispedizione scaduto” . Anziché interpellare il Comune di U__________ in merito al nuovo domicilio di RI 1, l’UE ha inviato gli avvisi d’incanto al precedente indirizzo di B__________, ovviamente senza successo (sopra ad F). Anche la richiesta d’informazione al Comune T__________ era inutile, giacché esso risulta essere una frazione di B__________ (sopra ad G). Invero, il 16 maggio 2019 l’UE ha chiesto informazioni pure al Comune di U__________, il quale, però, non ha dato seguito alla richiesta, probabilmente perché essa non gli è mai pervenuta a seguito dell’erronea indicazione del destinatario ( “Gemeinde B__________, Einwohneramt, 8__________” in luogo di “Gemeinde U__________, Einwohnerkontrolle, 8__________” ). Sta di fatto che l’UE non ha reinterpellato quel Comune e ha proceduto il 29 maggio 2019 all’asta del certificato azionario, malgrado gli avvisi d’incanto non fossero giunti all’escusso. Ne consegue che quegli avvisi devono essere annullati come pure i successivi atti esecutivi, ossia l’aggiudicazione del certificato azionario a favore dello Stato del PI 2 e gli attestati d’insufficienza di pegno dell’8 luglio 2019.</w:t>
      </w:r>
    </w:p>
    <w:p>
      <w:r>
        <w:rPr>
          <w:b/>
        </w:rPr>
        <w:t>E. 6</w:t>
      </w:r>
    </w:p>
    <w:p>
      <w:r>
        <w:t>Per abbondanza va aggiunto che anche l’Ufficio esazione e condoni è stato negligente, giacché ha comunicato all’UE solo l’8 luglio 2019, dopo l’asta, che RI 1 era domiciliato a R__________, quando tale circostanza gli era nota, a seguito di una comunicazione dello stesso debitore, dal lontano 9 ottobre 2017.</w:t>
      </w:r>
    </w:p>
    <w:p>
      <w:r>
        <w:rPr>
          <w:b/>
        </w:rPr>
        <w:t>E. 7</w:t>
      </w:r>
    </w:p>
    <w:p>
      <w:r>
        <w:t>RI 1 postula che per il futuro tutti i documenti gli siano trasmessi in lingua tedesca. Egli misconosce però che l’ita­liano è la lingua ufficiale in Ticino (art. 1 cpv. 1 Cost. TI) e pertanto la procedura esecutiva si deve svolgere in questa lingua (DTF 102 Ia 36 consid. 1, 108 V 208 consid. 1; Gilliéron , Commentaire de la LP, vol. I, 1999, n. 26 ad art. 2 LEF).</w:t>
      </w:r>
    </w:p>
    <w:p>
      <w:r>
        <w:rPr>
          <w:b/>
        </w:rPr>
        <w:t>E. 8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Il ricorso 17 luglio 2019 è parzialmente accolto. Di conseguenza sono annullati gli avvisi d’incanto, l’aggiudicazione del 29 maggio 2019 e gli attestati d’insufficienza di pegno emessi nelle esecuzioni n. __________ , __________, __________, __________, __________ e __________ . 2. Il ricorso 13 settembre 2019 è irricevibile siccome tardivo . 3. Non si prelevano spese né si assegnano indennità. 4. Notificazione a: –   ; –  Ufficio esazione e condoni, Viale S. Franscini 6, Bellinzona. Comunicazione all’Ufficio di esecuzione, Bellinzona.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