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15.2019.102 vom 22. April 2020</w:t>
      </w:r>
    </w:p>
    <w:p>
      <w:r>
        <w:t>TI Tribunale d'appello, 2020-04-22, IT</w:t>
      </w:r>
    </w:p>
    <w:p>
      <w:r>
        <w:rPr>
          <w:b/>
        </w:rPr>
        <w:t xml:space="preserve">Quelle: </w:t>
      </w:r>
      <w:r>
        <w:t>https://mcp.opencaselaw.ch/entscheid/ti_gerichte_15.2019.102</w:t>
      </w:r>
    </w:p>
    <w:p>
      <w:r>
        <w:t>FR: TI_GERICHTE 15.2019.102 du 22 avril 2020</w:t>
      </w:r>
    </w:p>
    <w:p>
      <w:r>
        <w:t>IT: TI_GERICHTE 15.2019.102 del 22 aprile 2020</w:t>
      </w:r>
    </w:p>
    <w:p>
      <w:pPr>
        <w:pStyle w:val="Heading2"/>
      </w:pPr>
      <w:r>
        <w:t>Regeste</w:t>
      </w:r>
    </w:p>
    <w:p>
      <w:r>
        <w:t>Notifica del precetto esecutivo in via edittale. Legittimazione al ricorso. Conseguenze della notifica irregolare in via edittale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Per legge non si preleva la tassa di giustizia e non si assegnano indennità (art. 20 a cpv. 2 n. 5 LEF, 61 cpv. 2 lett. a e 62 cpv. 2 OTLEF [ RS 281.35 ] ). Per questi motivi, pronuncia:              1. Il ricorso è parzialmente accolto. 1.1 Di conseguenza è ordinato all’CO 1 d’iscrivere nei suoi registri l’opposizione interposta da RI 1 all’esecuzione n. __________ il 2 dicembre 2019. 1.2 Sono annullati l’avviso di pignoramento emesso il 2 ottobre 2019, il pignoramento del 17 ottobre 2019 e lo stato di ripartizione del 19 novembre 2019 nell’esecuzione n. __________. 1.3 È ordinato all’Ufficio d’esecuzione di Lugano di richiedere ad PI 1 la restituzione dell’importo bonificatole il 23 novembre 2019 e di ripristinarne il sequestro (n. __________). 2. Non si prelevano spese né si assegnano indennità. 3. Notificazione a: –     ; –     . Comunicazione all’Ufficio di 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