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15.2018.39 vom 11. Mai 2018</w:t>
      </w:r>
    </w:p>
    <w:p>
      <w:r>
        <w:t>TI Tribunale d'appello, 2018-05-11, IT</w:t>
      </w:r>
    </w:p>
    <w:p>
      <w:r>
        <w:rPr>
          <w:b/>
        </w:rPr>
        <w:t xml:space="preserve">Quelle: </w:t>
      </w:r>
      <w:r>
        <w:t>https://mcp.opencaselaw.ch/entscheid/ti_gerichte_15.2018.39</w:t>
      </w:r>
    </w:p>
    <w:p>
      <w:r>
        <w:t>FR: TI_GERICHTE 15.2018.39 du 11 mai 2018</w:t>
      </w:r>
    </w:p>
    <w:p>
      <w:r>
        <w:t>IT: TI_GERICHTE 15.2018.39 del 11 maggio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Con l’emanazione del giudizio odierno, la domanda di effetto sospensivo diventa senza oggetto.</w:t>
      </w:r>
    </w:p>
    <w:p>
      <w:r>
        <w:rPr>
          <w:b/>
        </w:rPr>
        <w:t>E. 5</w:t>
      </w:r>
    </w:p>
    <w:p>
      <w:r>
        <w:t>Per legge non si preleva la tassa di giustizia e non si assegnano indennità (art. 20 a cpv. 2 n. 5 LEF, 61 cpv. 2 lett. a e 62 cpv. 2 OTLEF [ RS 281.35 ] ). Per questi motivi, pronuncia:              1. Nella misura in cui è ammissibile il ricorso è respinto. 2. Non si prelevano spese né si assegnano indennità. 3. Notificazione all’avv.     . Comunicazione all’Ufficio dei fallimenti, Lugano. Per la Camera di esecuzione e fallimenti del Tribunale d’appello Il presidente                                                          Il vicecancelliere Rimedi giuridici Contro la presente decisione è possibile presentare ricorso in materia civile al Tribunale federale, 1000 Losanna 14, entro dieci giorni dalla notificazione, ridotti a cinque ove la decisione impugnata sia stata pronunciata nell’ambito di un’esecuzione cambiaria (art. 74 cpv. 2 lett. c, 100 cpv. 2 lett. a e cpv. 3 lett. a LTF). Il termine non è sospeso durante le ferie giudiziarie nei casi previsti all’art.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